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8EF3D">
      <w:pPr>
        <w:keepNext w:val="0"/>
        <w:keepLines w:val="0"/>
        <w:pageBreakBefore w:val="0"/>
        <w:widowControl/>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ind w:firstLine="0" w:firstLineChars="0"/>
        <w:jc w:val="center"/>
        <w:textAlignment w:val="baseline"/>
        <w:rPr>
          <w:rFonts w:hint="eastAsia" w:ascii="黑体" w:hAnsi="黑体" w:eastAsia="黑体" w:cs="黑体"/>
          <w:spacing w:val="-1"/>
          <w:sz w:val="36"/>
          <w:szCs w:val="36"/>
          <w:lang w:val="en-US" w:eastAsia="zh-CN"/>
        </w:rPr>
      </w:pPr>
      <w:r>
        <w:rPr>
          <w:rFonts w:hint="eastAsia" w:ascii="黑体" w:hAnsi="黑体" w:eastAsia="黑体" w:cs="黑体"/>
          <w:spacing w:val="-1"/>
          <w:sz w:val="36"/>
          <w:szCs w:val="36"/>
          <w:lang w:val="en-US" w:eastAsia="zh-CN"/>
        </w:rPr>
        <w:t>2025年唐山市中等职业学校技能竞赛</w:t>
      </w:r>
    </w:p>
    <w:p w14:paraId="4A796DF1">
      <w:pPr>
        <w:keepNext w:val="0"/>
        <w:keepLines w:val="0"/>
        <w:pageBreakBefore w:val="0"/>
        <w:widowControl/>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line="240" w:lineRule="auto"/>
        <w:ind w:firstLine="0" w:firstLineChars="0"/>
        <w:jc w:val="center"/>
        <w:textAlignment w:val="baseline"/>
        <w:rPr>
          <w:rFonts w:ascii="黑体" w:hAnsi="黑体" w:eastAsia="黑体" w:cs="黑体"/>
          <w:spacing w:val="-4"/>
          <w:sz w:val="36"/>
          <w:szCs w:val="36"/>
          <w:lang w:eastAsia="zh-CN"/>
        </w:rPr>
      </w:pPr>
      <w:r>
        <w:rPr>
          <w:rFonts w:hint="eastAsia" w:ascii="黑体" w:hAnsi="黑体" w:eastAsia="黑体" w:cs="黑体"/>
          <w:spacing w:val="-4"/>
          <w:sz w:val="36"/>
          <w:szCs w:val="36"/>
          <w:lang w:val="en-US" w:eastAsia="zh-CN"/>
        </w:rPr>
        <w:t>汽车车身修复与美容</w:t>
      </w:r>
      <w:r>
        <w:rPr>
          <w:rFonts w:ascii="黑体" w:hAnsi="黑体" w:eastAsia="黑体" w:cs="黑体"/>
          <w:spacing w:val="-4"/>
          <w:sz w:val="36"/>
          <w:szCs w:val="36"/>
          <w:lang w:eastAsia="zh-CN"/>
        </w:rPr>
        <w:t>赛项规程</w:t>
      </w:r>
    </w:p>
    <w:p w14:paraId="48DC972A">
      <w:pPr>
        <w:keepNext w:val="0"/>
        <w:keepLines w:val="0"/>
        <w:pageBreakBefore w:val="0"/>
        <w:widowControl/>
        <w:kinsoku w:val="0"/>
        <w:wordWrap/>
        <w:overflowPunct/>
        <w:topLinePunct w:val="0"/>
        <w:autoSpaceDE w:val="0"/>
        <w:autoSpaceDN w:val="0"/>
        <w:bidi w:val="0"/>
        <w:adjustRightInd w:val="0"/>
        <w:snapToGrid w:val="0"/>
        <w:spacing w:before="110" w:line="240" w:lineRule="auto"/>
        <w:ind w:firstLine="0"/>
        <w:textAlignment w:val="baseline"/>
        <w:outlineLvl w:val="9"/>
        <w:rPr>
          <w:rFonts w:hint="eastAsia" w:ascii="黑体" w:hAnsi="黑体" w:eastAsia="黑体" w:cs="黑体"/>
          <w:b/>
          <w:bCs/>
          <w:sz w:val="32"/>
          <w:szCs w:val="32"/>
          <w:lang w:eastAsia="zh-CN"/>
        </w:rPr>
      </w:pPr>
      <w:r>
        <w:rPr>
          <w:rFonts w:hint="eastAsia" w:ascii="黑体" w:hAnsi="黑体" w:eastAsia="黑体" w:cs="黑体"/>
          <w:b/>
          <w:bCs/>
          <w:spacing w:val="-11"/>
          <w:sz w:val="32"/>
          <w:szCs w:val="32"/>
          <w:lang w:eastAsia="zh-CN"/>
        </w:rPr>
        <w:t>一、赛项名称</w:t>
      </w:r>
    </w:p>
    <w:p w14:paraId="0BC7726E">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赛项名称：汽车车身修复与美容</w:t>
      </w:r>
    </w:p>
    <w:p w14:paraId="4F6A1B40">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赛项组别：中职学生</w:t>
      </w:r>
    </w:p>
    <w:p w14:paraId="408F564D">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赛项归属产业：交通运输类</w:t>
      </w:r>
    </w:p>
    <w:p w14:paraId="767833CF">
      <w:pPr>
        <w:spacing w:line="123" w:lineRule="auto"/>
        <w:rPr>
          <w:rFonts w:ascii="Arial"/>
          <w:sz w:val="2"/>
        </w:rPr>
      </w:pPr>
    </w:p>
    <w:p w14:paraId="5E5CBC8A">
      <w:pPr>
        <w:spacing w:line="31" w:lineRule="exact"/>
      </w:pPr>
    </w:p>
    <w:p w14:paraId="6B603743">
      <w:pPr>
        <w:spacing w:line="89" w:lineRule="auto"/>
        <w:rPr>
          <w:rFonts w:ascii="Arial"/>
          <w:sz w:val="2"/>
        </w:rPr>
      </w:pPr>
    </w:p>
    <w:p w14:paraId="3114C39C">
      <w:pPr>
        <w:keepNext w:val="0"/>
        <w:keepLines w:val="0"/>
        <w:pageBreakBefore w:val="0"/>
        <w:widowControl/>
        <w:kinsoku w:val="0"/>
        <w:wordWrap/>
        <w:overflowPunct/>
        <w:topLinePunct w:val="0"/>
        <w:autoSpaceDE w:val="0"/>
        <w:autoSpaceDN w:val="0"/>
        <w:bidi w:val="0"/>
        <w:adjustRightInd w:val="0"/>
        <w:snapToGrid w:val="0"/>
        <w:spacing w:before="110" w:line="240" w:lineRule="auto"/>
        <w:ind w:firstLine="0"/>
        <w:textAlignment w:val="baseline"/>
        <w:outlineLvl w:val="9"/>
        <w:rPr>
          <w:rFonts w:hint="eastAsia" w:ascii="黑体" w:hAnsi="黑体" w:eastAsia="黑体" w:cs="黑体"/>
          <w:b/>
          <w:bCs/>
          <w:spacing w:val="-11"/>
          <w:sz w:val="32"/>
          <w:szCs w:val="32"/>
          <w:lang w:eastAsia="zh-CN"/>
        </w:rPr>
      </w:pPr>
      <w:r>
        <w:rPr>
          <w:rFonts w:hint="eastAsia" w:ascii="黑体" w:hAnsi="黑体" w:eastAsia="黑体" w:cs="黑体"/>
          <w:b/>
          <w:bCs/>
          <w:spacing w:val="-11"/>
          <w:sz w:val="32"/>
          <w:szCs w:val="32"/>
          <w:lang w:eastAsia="zh-CN"/>
        </w:rPr>
        <w:t>二、竞赛目标</w:t>
      </w:r>
    </w:p>
    <w:p w14:paraId="204AC1D4">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为落实唐山市教育局《转发省教育厅〈关于建立健全职业学校技能大赛体系的实施方案（试行）〉的通知》（冀教职成〔</w:t>
      </w:r>
      <w:r>
        <w:rPr>
          <w:rFonts w:hint="eastAsia" w:ascii="仿宋" w:hAnsi="仿宋" w:eastAsia="仿宋" w:cs="仿宋"/>
          <w:sz w:val="28"/>
          <w:szCs w:val="28"/>
          <w:lang w:val="en-US" w:eastAsia="zh-CN"/>
        </w:rPr>
        <w:t>2024</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2号</w:t>
      </w:r>
      <w:r>
        <w:rPr>
          <w:rFonts w:hint="eastAsia" w:ascii="仿宋" w:hAnsi="仿宋" w:eastAsia="仿宋" w:cs="仿宋"/>
          <w:sz w:val="28"/>
          <w:szCs w:val="28"/>
          <w:lang w:eastAsia="zh-CN"/>
        </w:rPr>
        <w:t>）及我市有关文件要求，为强化技能大赛在提高职业学校技术技能人才培养质量的重要作用，检验我市职业教育办学成果，展示专业教师和学生的精神风貌，为省赛、国赛选拔优秀人才。</w:t>
      </w:r>
    </w:p>
    <w:p w14:paraId="4A306F76">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本赛项对接国家“十四五”规划：“加快建设交通强国”“提升传统消费，加快推动汽车等消费品由购买管理向使用管理转变”。</w:t>
      </w:r>
    </w:p>
    <w:p w14:paraId="3541A88A">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本赛项结合以往全国职业院校技能大赛和世界技能大赛车身修理项目，以及交通运输行业汽车美容装饰竞赛规则，引入汽车技术标准为指导，结合行业标准及职业技能鉴定标准，以汽车车身整形修复、汽车美容等岗位工作中最基本且作业量最大的典型维修项目为基础，充分考虑教学标准和行业标准的衔接，旨在通过竞赛展示技能，检验汽车车身修复和美容专业人才的培养质量，弘扬工匠精神，进一步推动中职院校汽车车身修复专业、汽车美容装潢专业、汽车运用与维修等专业建设、课程建设、师资队伍建设、教学改革、校企结合与岗位对接，提高学生的操作技能和未来岗位的适应能力。</w:t>
      </w:r>
    </w:p>
    <w:p w14:paraId="51FF5717">
      <w:pPr>
        <w:keepNext w:val="0"/>
        <w:keepLines w:val="0"/>
        <w:pageBreakBefore w:val="0"/>
        <w:widowControl/>
        <w:kinsoku w:val="0"/>
        <w:wordWrap/>
        <w:overflowPunct/>
        <w:topLinePunct w:val="0"/>
        <w:autoSpaceDE w:val="0"/>
        <w:autoSpaceDN w:val="0"/>
        <w:bidi w:val="0"/>
        <w:adjustRightInd w:val="0"/>
        <w:snapToGrid w:val="0"/>
        <w:spacing w:before="110" w:line="240" w:lineRule="auto"/>
        <w:ind w:firstLine="0"/>
        <w:textAlignment w:val="baseline"/>
        <w:outlineLvl w:val="9"/>
        <w:rPr>
          <w:rFonts w:hint="eastAsia" w:ascii="黑体" w:hAnsi="黑体" w:eastAsia="黑体" w:cs="黑体"/>
          <w:b/>
          <w:bCs/>
          <w:spacing w:val="-11"/>
          <w:sz w:val="32"/>
          <w:szCs w:val="32"/>
          <w:lang w:eastAsia="zh-CN"/>
        </w:rPr>
      </w:pPr>
      <w:r>
        <w:rPr>
          <w:rFonts w:hint="eastAsia" w:ascii="黑体" w:hAnsi="黑体" w:eastAsia="黑体" w:cs="黑体"/>
          <w:b/>
          <w:bCs/>
          <w:spacing w:val="-11"/>
          <w:sz w:val="32"/>
          <w:szCs w:val="32"/>
          <w:lang w:eastAsia="zh-CN"/>
        </w:rPr>
        <w:t>三、竞赛内容</w:t>
      </w:r>
    </w:p>
    <w:p w14:paraId="67487CBE">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本赛项主要考查汽车车身结构件切割、测量、焊接、防腐、非结构件整形修复、金属件成型、汽车美容护理、汽车装饰贴膜等方面的技术技能，涵盖汽车车身结构部件更换、汽车车身零部件损伤维修、汽车美容与装潢等职业典型工作任务。将典型工作任务有机结合赛项任务，由不同工种选手相互配合完成。检验选手内外覆盖件及相关部件拆装并进行零件装配间隙调整，制订和实施车身维修作业方案，车身覆盖件的整形修理、更换，车身校正和板件更换，按照标准的修复工艺流程和要求进行修复作业，汽车美容与装潢产品、材料正确选用，汽车美容与装潢设备、工具正确使用，能够规范熟练地完成汽车美容与装潢典型项目作业，具备绿色生产、环保安全等法规意识，能够遵守职业道德准则和行为规范，能在法律框架内实施汽车车身修复、汽车美容与装潢作业等专业核心能力和职业综合能力。具备相关的国家法律、行业规定，具备绿色生产、环境保护、安全防护、质量管理、工匠精神等应用能力，具有终身学习和可持续发展的能力。</w:t>
      </w:r>
    </w:p>
    <w:p w14:paraId="3E2BC1E1">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本赛项实现对中职车身修复、汽车美容装潢专业融合，覆盖汽车车身整形修复工、汽车美容装潢工岗位。</w:t>
      </w:r>
    </w:p>
    <w:p w14:paraId="6D7952D2">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本赛项竞赛内容由两个模块组成，总分100分，车门验形样板手工成型模块</w:t>
      </w:r>
      <w:r>
        <w:rPr>
          <w:rFonts w:hint="eastAsia" w:ascii="仿宋" w:hAnsi="仿宋" w:eastAsia="仿宋" w:cs="仿宋"/>
          <w:sz w:val="28"/>
          <w:szCs w:val="28"/>
          <w:lang w:val="en-US" w:eastAsia="zh-CN"/>
        </w:rPr>
        <w:t>50</w:t>
      </w:r>
      <w:r>
        <w:rPr>
          <w:rFonts w:hint="eastAsia" w:ascii="仿宋" w:hAnsi="仿宋" w:eastAsia="仿宋" w:cs="仿宋"/>
          <w:sz w:val="28"/>
          <w:szCs w:val="28"/>
          <w:lang w:eastAsia="zh-CN"/>
        </w:rPr>
        <w:t>分、车身非结构件整形修复模块</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0分。</w:t>
      </w:r>
    </w:p>
    <w:p w14:paraId="3DC961D0">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模块A车门验形样板手工成型。作业时间总计</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0分钟，由汽车车身修复与美容选手独立完成。</w:t>
      </w:r>
    </w:p>
    <w:p w14:paraId="76BF752E">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模块B车身非结构件整形修复。作业时间总计</w:t>
      </w:r>
      <w:r>
        <w:rPr>
          <w:rFonts w:hint="eastAsia" w:ascii="仿宋" w:hAnsi="仿宋" w:eastAsia="仿宋" w:cs="仿宋"/>
          <w:sz w:val="28"/>
          <w:szCs w:val="28"/>
          <w:lang w:val="en-US" w:eastAsia="zh-CN"/>
        </w:rPr>
        <w:t>40</w:t>
      </w:r>
      <w:r>
        <w:rPr>
          <w:rFonts w:hint="eastAsia" w:ascii="仿宋" w:hAnsi="仿宋" w:eastAsia="仿宋" w:cs="仿宋"/>
          <w:sz w:val="28"/>
          <w:szCs w:val="28"/>
          <w:lang w:eastAsia="zh-CN"/>
        </w:rPr>
        <w:t>分钟，由汽车车身修复与美容选手独立完成。</w:t>
      </w:r>
    </w:p>
    <w:p w14:paraId="24E637EB">
      <w:pPr>
        <w:spacing w:before="303" w:line="222" w:lineRule="auto"/>
        <w:ind w:left="2102"/>
        <w:rPr>
          <w:rFonts w:ascii="黑体" w:hAnsi="黑体" w:eastAsia="黑体" w:cs="黑体"/>
          <w:sz w:val="28"/>
          <w:szCs w:val="28"/>
        </w:rPr>
      </w:pPr>
      <w:r>
        <w:rPr>
          <w:rFonts w:ascii="黑体" w:hAnsi="黑体" w:eastAsia="黑体" w:cs="黑体"/>
          <w:spacing w:val="-3"/>
          <w:sz w:val="28"/>
          <w:szCs w:val="28"/>
        </w:rPr>
        <w:t>表</w:t>
      </w:r>
      <w:r>
        <w:rPr>
          <w:rFonts w:ascii="Times New Roman" w:hAnsi="Times New Roman" w:eastAsia="Times New Roman" w:cs="Times New Roman"/>
          <w:spacing w:val="-3"/>
          <w:sz w:val="28"/>
          <w:szCs w:val="28"/>
        </w:rPr>
        <w:t>1</w:t>
      </w:r>
      <w:r>
        <w:rPr>
          <w:rFonts w:hint="eastAsia" w:ascii="Times New Roman" w:hAnsi="Times New Roman" w:eastAsia="宋体" w:cs="Times New Roman"/>
          <w:spacing w:val="-3"/>
          <w:sz w:val="28"/>
          <w:szCs w:val="28"/>
          <w:lang w:val="en-US" w:eastAsia="zh-CN"/>
        </w:rPr>
        <w:t xml:space="preserve">    </w:t>
      </w:r>
      <w:r>
        <w:rPr>
          <w:rFonts w:ascii="黑体" w:hAnsi="黑体" w:eastAsia="黑体" w:cs="黑体"/>
          <w:spacing w:val="-3"/>
          <w:sz w:val="28"/>
          <w:szCs w:val="28"/>
        </w:rPr>
        <w:t>模块任务、主要内容、时长与占比</w:t>
      </w:r>
    </w:p>
    <w:tbl>
      <w:tblPr>
        <w:tblStyle w:val="9"/>
        <w:tblW w:w="878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74"/>
        <w:gridCol w:w="541"/>
        <w:gridCol w:w="575"/>
        <w:gridCol w:w="1075"/>
        <w:gridCol w:w="4561"/>
        <w:gridCol w:w="756"/>
        <w:gridCol w:w="706"/>
      </w:tblGrid>
      <w:tr w14:paraId="1BE7B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jc w:val="center"/>
        </w:trPr>
        <w:tc>
          <w:tcPr>
            <w:tcW w:w="2765" w:type="dxa"/>
            <w:gridSpan w:val="4"/>
            <w:vAlign w:val="center"/>
          </w:tcPr>
          <w:p w14:paraId="4A5C480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4"/>
                <w:sz w:val="24"/>
                <w:szCs w:val="24"/>
                <w14:textOutline w14:w="4358" w14:cap="sq" w14:cmpd="sng">
                  <w14:solidFill>
                    <w14:srgbClr w14:val="000000"/>
                  </w14:solidFill>
                  <w14:prstDash w14:val="solid"/>
                  <w14:bevel/>
                </w14:textOutline>
              </w:rPr>
              <w:t>模块</w:t>
            </w:r>
          </w:p>
        </w:tc>
        <w:tc>
          <w:tcPr>
            <w:tcW w:w="4561" w:type="dxa"/>
            <w:vAlign w:val="center"/>
          </w:tcPr>
          <w:p w14:paraId="4C58FD4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5"/>
                <w:sz w:val="24"/>
                <w:szCs w:val="24"/>
                <w14:textOutline w14:w="4358" w14:cap="sq" w14:cmpd="sng">
                  <w14:solidFill>
                    <w14:srgbClr w14:val="000000"/>
                  </w14:solidFill>
                  <w14:prstDash w14:val="solid"/>
                  <w14:bevel/>
                </w14:textOutline>
              </w:rPr>
              <w:t>主要内容</w:t>
            </w:r>
          </w:p>
        </w:tc>
        <w:tc>
          <w:tcPr>
            <w:tcW w:w="756" w:type="dxa"/>
            <w:vAlign w:val="center"/>
          </w:tcPr>
          <w:p w14:paraId="56CDF88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16"/>
                <w:sz w:val="24"/>
                <w:szCs w:val="24"/>
                <w14:textOutline w14:w="4358" w14:cap="sq" w14:cmpd="sng">
                  <w14:solidFill>
                    <w14:srgbClr w14:val="000000"/>
                  </w14:solidFill>
                  <w14:prstDash w14:val="solid"/>
                  <w14:bevel/>
                </w14:textOutline>
              </w:rPr>
              <w:t>时长</w:t>
            </w:r>
          </w:p>
        </w:tc>
        <w:tc>
          <w:tcPr>
            <w:tcW w:w="706" w:type="dxa"/>
            <w:vAlign w:val="center"/>
          </w:tcPr>
          <w:p w14:paraId="27C9736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4"/>
                <w:sz w:val="24"/>
                <w:szCs w:val="24"/>
                <w14:textOutline w14:w="4358" w14:cap="sq" w14:cmpd="sng">
                  <w14:solidFill>
                    <w14:srgbClr w14:val="000000"/>
                  </w14:solidFill>
                  <w14:prstDash w14:val="solid"/>
                  <w14:bevel/>
                </w14:textOutline>
              </w:rPr>
              <w:t>占比</w:t>
            </w:r>
          </w:p>
        </w:tc>
      </w:tr>
      <w:tr w14:paraId="5148CD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1" w:hRule="atLeast"/>
          <w:jc w:val="center"/>
        </w:trPr>
        <w:tc>
          <w:tcPr>
            <w:tcW w:w="574" w:type="dxa"/>
            <w:vMerge w:val="restart"/>
            <w:tcBorders>
              <w:bottom w:val="nil"/>
            </w:tcBorders>
            <w:vAlign w:val="center"/>
          </w:tcPr>
          <w:p w14:paraId="0734FFB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z w:val="24"/>
                <w:szCs w:val="24"/>
              </w:rPr>
              <w:t>模块A</w:t>
            </w:r>
          </w:p>
        </w:tc>
        <w:tc>
          <w:tcPr>
            <w:tcW w:w="541" w:type="dxa"/>
            <w:vMerge w:val="restart"/>
            <w:tcBorders>
              <w:bottom w:val="nil"/>
            </w:tcBorders>
            <w:vAlign w:val="center"/>
          </w:tcPr>
          <w:p w14:paraId="1BDF8EF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r>
              <w:rPr>
                <w:rFonts w:hint="eastAsia" w:cs="仿宋"/>
                <w:spacing w:val="14"/>
                <w:w w:val="120"/>
                <w:sz w:val="24"/>
                <w:szCs w:val="24"/>
                <w:lang w:eastAsia="zh-CN"/>
              </w:rPr>
              <w:t>车门验形样板手工成型</w:t>
            </w:r>
          </w:p>
        </w:tc>
        <w:tc>
          <w:tcPr>
            <w:tcW w:w="575" w:type="dxa"/>
            <w:vAlign w:val="center"/>
          </w:tcPr>
          <w:p w14:paraId="3A3EEBC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z w:val="24"/>
                <w:szCs w:val="24"/>
              </w:rPr>
              <w:t>任务1</w:t>
            </w:r>
          </w:p>
        </w:tc>
        <w:tc>
          <w:tcPr>
            <w:tcW w:w="1075" w:type="dxa"/>
            <w:vAlign w:val="center"/>
          </w:tcPr>
          <w:p w14:paraId="1A18955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42"/>
                <w:sz w:val="24"/>
                <w:szCs w:val="24"/>
              </w:rPr>
              <w:t>金属件</w:t>
            </w:r>
            <w:r>
              <w:rPr>
                <w:rFonts w:hint="eastAsia" w:ascii="仿宋" w:hAnsi="仿宋" w:eastAsia="仿宋" w:cs="仿宋"/>
                <w:spacing w:val="-15"/>
                <w:sz w:val="24"/>
                <w:szCs w:val="24"/>
              </w:rPr>
              <w:t>手工制</w:t>
            </w:r>
            <w:r>
              <w:rPr>
                <w:rFonts w:hint="eastAsia" w:ascii="仿宋" w:hAnsi="仿宋" w:eastAsia="仿宋" w:cs="仿宋"/>
                <w:sz w:val="24"/>
                <w:szCs w:val="24"/>
              </w:rPr>
              <w:t>作</w:t>
            </w:r>
          </w:p>
        </w:tc>
        <w:tc>
          <w:tcPr>
            <w:tcW w:w="4561" w:type="dxa"/>
            <w:vAlign w:val="center"/>
          </w:tcPr>
          <w:p w14:paraId="19BF7DC5">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仿宋" w:hAnsi="仿宋" w:eastAsia="仿宋" w:cs="仿宋"/>
                <w:sz w:val="24"/>
                <w:szCs w:val="24"/>
              </w:rPr>
            </w:pPr>
            <w:r>
              <w:rPr>
                <w:rFonts w:hint="eastAsia" w:ascii="仿宋" w:hAnsi="仿宋" w:eastAsia="仿宋" w:cs="仿宋"/>
                <w:spacing w:val="8"/>
                <w:sz w:val="24"/>
                <w:szCs w:val="24"/>
              </w:rPr>
              <w:t>该任务要求参赛选手根据比赛提供的</w:t>
            </w:r>
            <w:r>
              <w:rPr>
                <w:rFonts w:hint="eastAsia" w:ascii="仿宋" w:hAnsi="仿宋" w:eastAsia="仿宋" w:cs="仿宋"/>
                <w:sz w:val="24"/>
                <w:szCs w:val="24"/>
              </w:rPr>
              <w:t>样件、工具和物料，将金属板材通过手工加工方式按照技术要求制作成所要求</w:t>
            </w:r>
            <w:r>
              <w:rPr>
                <w:rFonts w:hint="eastAsia" w:ascii="仿宋" w:hAnsi="仿宋" w:eastAsia="仿宋" w:cs="仿宋"/>
                <w:spacing w:val="-3"/>
                <w:sz w:val="24"/>
                <w:szCs w:val="24"/>
              </w:rPr>
              <w:t>的形状和尺寸。</w:t>
            </w:r>
          </w:p>
        </w:tc>
        <w:tc>
          <w:tcPr>
            <w:tcW w:w="756" w:type="dxa"/>
            <w:vAlign w:val="center"/>
          </w:tcPr>
          <w:p w14:paraId="72E0CA7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r>
              <w:rPr>
                <w:rFonts w:hint="eastAsia" w:ascii="仿宋" w:hAnsi="仿宋" w:eastAsia="仿宋" w:cs="仿宋"/>
                <w:spacing w:val="-5"/>
                <w:sz w:val="24"/>
                <w:szCs w:val="24"/>
                <w:lang w:val="en-US" w:eastAsia="zh-CN"/>
              </w:rPr>
              <w:t>4</w:t>
            </w:r>
            <w:r>
              <w:rPr>
                <w:rFonts w:hint="eastAsia" w:ascii="仿宋" w:hAnsi="仿宋" w:eastAsia="仿宋" w:cs="仿宋"/>
                <w:spacing w:val="-5"/>
                <w:sz w:val="24"/>
                <w:szCs w:val="24"/>
              </w:rPr>
              <w:t>0</w:t>
            </w:r>
            <w:r>
              <w:rPr>
                <w:rFonts w:hint="eastAsia" w:ascii="仿宋" w:hAnsi="仿宋" w:eastAsia="仿宋" w:cs="仿宋"/>
                <w:spacing w:val="-5"/>
                <w:sz w:val="24"/>
                <w:szCs w:val="24"/>
                <w:lang w:eastAsia="zh-CN"/>
              </w:rPr>
              <w:t>分钟</w:t>
            </w:r>
          </w:p>
        </w:tc>
        <w:tc>
          <w:tcPr>
            <w:tcW w:w="706" w:type="dxa"/>
            <w:vAlign w:val="center"/>
          </w:tcPr>
          <w:p w14:paraId="4D2EDD9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r>
              <w:rPr>
                <w:rFonts w:hint="eastAsia" w:ascii="仿宋" w:hAnsi="仿宋" w:eastAsia="仿宋" w:cs="仿宋"/>
                <w:spacing w:val="-15"/>
                <w:sz w:val="24"/>
                <w:szCs w:val="24"/>
                <w:lang w:val="en-US" w:eastAsia="zh-CN"/>
              </w:rPr>
              <w:t>50</w:t>
            </w:r>
          </w:p>
        </w:tc>
      </w:tr>
      <w:tr w14:paraId="118EE3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jc w:val="center"/>
        </w:trPr>
        <w:tc>
          <w:tcPr>
            <w:tcW w:w="574" w:type="dxa"/>
            <w:vMerge w:val="continue"/>
            <w:tcBorders>
              <w:top w:val="nil"/>
              <w:bottom w:val="nil"/>
            </w:tcBorders>
            <w:vAlign w:val="center"/>
          </w:tcPr>
          <w:p w14:paraId="2B16C2D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541" w:type="dxa"/>
            <w:vMerge w:val="continue"/>
            <w:tcBorders>
              <w:top w:val="nil"/>
              <w:bottom w:val="nil"/>
            </w:tcBorders>
            <w:textDirection w:val="tbRlV"/>
            <w:vAlign w:val="center"/>
          </w:tcPr>
          <w:p w14:paraId="0A41A61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575" w:type="dxa"/>
            <w:vAlign w:val="center"/>
          </w:tcPr>
          <w:p w14:paraId="06EA580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075" w:type="dxa"/>
            <w:vAlign w:val="center"/>
          </w:tcPr>
          <w:p w14:paraId="78E6140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4561" w:type="dxa"/>
            <w:vAlign w:val="center"/>
          </w:tcPr>
          <w:p w14:paraId="48CD341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仿宋" w:hAnsi="仿宋" w:eastAsia="仿宋" w:cs="仿宋"/>
                <w:sz w:val="24"/>
                <w:szCs w:val="24"/>
              </w:rPr>
            </w:pPr>
          </w:p>
        </w:tc>
        <w:tc>
          <w:tcPr>
            <w:tcW w:w="756" w:type="dxa"/>
            <w:vAlign w:val="center"/>
          </w:tcPr>
          <w:p w14:paraId="4FBEE617">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706" w:type="dxa"/>
            <w:vAlign w:val="center"/>
          </w:tcPr>
          <w:p w14:paraId="0B54F24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p>
        </w:tc>
      </w:tr>
      <w:tr w14:paraId="55BA4E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4" w:hRule="atLeast"/>
          <w:jc w:val="center"/>
        </w:trPr>
        <w:tc>
          <w:tcPr>
            <w:tcW w:w="574" w:type="dxa"/>
            <w:vMerge w:val="continue"/>
            <w:tcBorders>
              <w:top w:val="nil"/>
            </w:tcBorders>
            <w:vAlign w:val="center"/>
          </w:tcPr>
          <w:p w14:paraId="5BC24E7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541" w:type="dxa"/>
            <w:vMerge w:val="continue"/>
            <w:tcBorders>
              <w:top w:val="nil"/>
            </w:tcBorders>
            <w:textDirection w:val="tbRlV"/>
            <w:vAlign w:val="center"/>
          </w:tcPr>
          <w:p w14:paraId="5E6D7A2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575" w:type="dxa"/>
            <w:vAlign w:val="center"/>
          </w:tcPr>
          <w:p w14:paraId="07807CD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075" w:type="dxa"/>
            <w:vAlign w:val="center"/>
          </w:tcPr>
          <w:p w14:paraId="2631F23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4561" w:type="dxa"/>
            <w:vAlign w:val="center"/>
          </w:tcPr>
          <w:p w14:paraId="58EFF33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仿宋" w:hAnsi="仿宋" w:eastAsia="仿宋" w:cs="仿宋"/>
                <w:sz w:val="24"/>
                <w:szCs w:val="24"/>
              </w:rPr>
            </w:pPr>
          </w:p>
        </w:tc>
        <w:tc>
          <w:tcPr>
            <w:tcW w:w="756" w:type="dxa"/>
            <w:vAlign w:val="center"/>
          </w:tcPr>
          <w:p w14:paraId="38FDF34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706" w:type="dxa"/>
            <w:vAlign w:val="center"/>
          </w:tcPr>
          <w:p w14:paraId="68699B6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p>
        </w:tc>
      </w:tr>
      <w:tr w14:paraId="6A448E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8" w:hRule="atLeast"/>
          <w:jc w:val="center"/>
        </w:trPr>
        <w:tc>
          <w:tcPr>
            <w:tcW w:w="574" w:type="dxa"/>
            <w:vMerge w:val="restart"/>
            <w:tcBorders>
              <w:bottom w:val="nil"/>
            </w:tcBorders>
            <w:vAlign w:val="center"/>
          </w:tcPr>
          <w:p w14:paraId="4790C86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z w:val="24"/>
                <w:szCs w:val="24"/>
              </w:rPr>
              <w:t>模块</w:t>
            </w:r>
            <w:r>
              <w:rPr>
                <w:rFonts w:hint="eastAsia" w:cs="仿宋"/>
                <w:sz w:val="24"/>
                <w:szCs w:val="24"/>
                <w:lang w:val="en-US" w:eastAsia="zh-CN"/>
              </w:rPr>
              <w:t>B</w:t>
            </w:r>
          </w:p>
        </w:tc>
        <w:tc>
          <w:tcPr>
            <w:tcW w:w="541" w:type="dxa"/>
            <w:vMerge w:val="restart"/>
            <w:tcBorders>
              <w:bottom w:val="nil"/>
            </w:tcBorders>
            <w:textDirection w:val="tbRlV"/>
            <w:vAlign w:val="center"/>
          </w:tcPr>
          <w:p w14:paraId="2D5AE44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r>
              <w:rPr>
                <w:rFonts w:hint="eastAsia" w:cs="仿宋"/>
                <w:spacing w:val="52"/>
                <w:sz w:val="24"/>
                <w:szCs w:val="24"/>
                <w:lang w:eastAsia="zh-CN"/>
              </w:rPr>
              <w:t>车身非结构件整形修复</w:t>
            </w:r>
          </w:p>
        </w:tc>
        <w:tc>
          <w:tcPr>
            <w:tcW w:w="575" w:type="dxa"/>
            <w:vAlign w:val="center"/>
          </w:tcPr>
          <w:p w14:paraId="5B89520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z w:val="24"/>
                <w:szCs w:val="24"/>
              </w:rPr>
              <w:t>任务1</w:t>
            </w:r>
          </w:p>
        </w:tc>
        <w:tc>
          <w:tcPr>
            <w:tcW w:w="1075" w:type="dxa"/>
            <w:vAlign w:val="center"/>
          </w:tcPr>
          <w:p w14:paraId="4B4CE40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9"/>
                <w:sz w:val="24"/>
                <w:szCs w:val="24"/>
              </w:rPr>
              <w:t>车身非</w:t>
            </w:r>
            <w:r>
              <w:rPr>
                <w:rFonts w:hint="eastAsia" w:ascii="仿宋" w:hAnsi="仿宋" w:eastAsia="仿宋" w:cs="仿宋"/>
                <w:spacing w:val="41"/>
                <w:sz w:val="24"/>
                <w:szCs w:val="24"/>
              </w:rPr>
              <w:t>结构件整形修</w:t>
            </w:r>
            <w:r>
              <w:rPr>
                <w:rFonts w:hint="eastAsia" w:ascii="仿宋" w:hAnsi="仿宋" w:eastAsia="仿宋" w:cs="仿宋"/>
                <w:sz w:val="24"/>
                <w:szCs w:val="24"/>
              </w:rPr>
              <w:t>复</w:t>
            </w:r>
          </w:p>
        </w:tc>
        <w:tc>
          <w:tcPr>
            <w:tcW w:w="4561" w:type="dxa"/>
            <w:vAlign w:val="center"/>
          </w:tcPr>
          <w:p w14:paraId="3261812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仿宋" w:hAnsi="仿宋" w:eastAsia="仿宋" w:cs="仿宋"/>
                <w:sz w:val="24"/>
                <w:szCs w:val="24"/>
              </w:rPr>
            </w:pPr>
            <w:r>
              <w:rPr>
                <w:rFonts w:hint="eastAsia" w:ascii="仿宋" w:hAnsi="仿宋" w:eastAsia="仿宋" w:cs="仿宋"/>
                <w:spacing w:val="-4"/>
                <w:sz w:val="24"/>
                <w:szCs w:val="24"/>
              </w:rPr>
              <w:t>该任务要求参赛选手在车门支架上进行，</w:t>
            </w:r>
            <w:r>
              <w:rPr>
                <w:rFonts w:hint="eastAsia" w:ascii="仿宋" w:hAnsi="仿宋" w:eastAsia="仿宋" w:cs="仿宋"/>
                <w:sz w:val="24"/>
                <w:szCs w:val="24"/>
              </w:rPr>
              <w:t>要求参赛选手正确使用维修工具，将车身</w:t>
            </w:r>
            <w:r>
              <w:rPr>
                <w:rFonts w:hint="eastAsia" w:ascii="仿宋" w:hAnsi="仿宋" w:eastAsia="仿宋" w:cs="仿宋"/>
                <w:spacing w:val="14"/>
                <w:sz w:val="24"/>
                <w:szCs w:val="24"/>
              </w:rPr>
              <w:t>非结构件损伤修复到受损前的形状和尺</w:t>
            </w:r>
            <w:r>
              <w:rPr>
                <w:rFonts w:hint="eastAsia" w:ascii="仿宋" w:hAnsi="仿宋" w:eastAsia="仿宋" w:cs="仿宋"/>
                <w:spacing w:val="-9"/>
                <w:sz w:val="24"/>
                <w:szCs w:val="24"/>
              </w:rPr>
              <w:t>寸。</w:t>
            </w:r>
          </w:p>
        </w:tc>
        <w:tc>
          <w:tcPr>
            <w:tcW w:w="756" w:type="dxa"/>
            <w:vAlign w:val="center"/>
          </w:tcPr>
          <w:p w14:paraId="3124A508">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default" w:ascii="仿宋" w:hAnsi="仿宋" w:eastAsia="仿宋" w:cs="仿宋"/>
                <w:sz w:val="24"/>
                <w:szCs w:val="24"/>
                <w:lang w:val="en-US" w:eastAsia="zh-CN"/>
              </w:rPr>
            </w:pPr>
            <w:r>
              <w:rPr>
                <w:rFonts w:hint="eastAsia" w:ascii="仿宋" w:hAnsi="仿宋" w:eastAsia="仿宋" w:cs="仿宋"/>
                <w:spacing w:val="-5"/>
                <w:sz w:val="24"/>
                <w:szCs w:val="24"/>
                <w:lang w:val="en-US" w:eastAsia="zh-CN"/>
              </w:rPr>
              <w:t>40分钟</w:t>
            </w:r>
          </w:p>
        </w:tc>
        <w:tc>
          <w:tcPr>
            <w:tcW w:w="706" w:type="dxa"/>
            <w:vAlign w:val="center"/>
          </w:tcPr>
          <w:p w14:paraId="1AED93C5">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r>
              <w:rPr>
                <w:rFonts w:hint="eastAsia" w:ascii="仿宋" w:hAnsi="仿宋" w:eastAsia="仿宋" w:cs="仿宋"/>
                <w:sz w:val="24"/>
                <w:szCs w:val="24"/>
                <w:lang w:val="en-US" w:eastAsia="zh-CN"/>
              </w:rPr>
              <w:t>50</w:t>
            </w:r>
          </w:p>
        </w:tc>
      </w:tr>
      <w:tr w14:paraId="3838DA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jc w:val="center"/>
        </w:trPr>
        <w:tc>
          <w:tcPr>
            <w:tcW w:w="574" w:type="dxa"/>
            <w:vMerge w:val="continue"/>
            <w:tcBorders>
              <w:top w:val="nil"/>
            </w:tcBorders>
            <w:vAlign w:val="center"/>
          </w:tcPr>
          <w:p w14:paraId="2EAE75BD">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541" w:type="dxa"/>
            <w:vMerge w:val="continue"/>
            <w:tcBorders>
              <w:top w:val="nil"/>
            </w:tcBorders>
            <w:textDirection w:val="tbRlV"/>
            <w:vAlign w:val="center"/>
          </w:tcPr>
          <w:p w14:paraId="3A8AC57A">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575" w:type="dxa"/>
            <w:vAlign w:val="center"/>
          </w:tcPr>
          <w:p w14:paraId="5395F36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075" w:type="dxa"/>
            <w:vAlign w:val="center"/>
          </w:tcPr>
          <w:p w14:paraId="12F8A7B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4561" w:type="dxa"/>
            <w:vAlign w:val="center"/>
          </w:tcPr>
          <w:p w14:paraId="2CD639D5">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both"/>
              <w:textAlignment w:val="baseline"/>
              <w:rPr>
                <w:rFonts w:hint="eastAsia" w:ascii="仿宋" w:hAnsi="仿宋" w:eastAsia="仿宋" w:cs="仿宋"/>
                <w:sz w:val="24"/>
                <w:szCs w:val="24"/>
              </w:rPr>
            </w:pPr>
          </w:p>
        </w:tc>
        <w:tc>
          <w:tcPr>
            <w:tcW w:w="756" w:type="dxa"/>
            <w:vAlign w:val="center"/>
          </w:tcPr>
          <w:p w14:paraId="07DAFDA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p>
        </w:tc>
        <w:tc>
          <w:tcPr>
            <w:tcW w:w="706" w:type="dxa"/>
            <w:vAlign w:val="center"/>
          </w:tcPr>
          <w:p w14:paraId="14B190D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lang w:eastAsia="zh-CN"/>
              </w:rPr>
            </w:pPr>
          </w:p>
        </w:tc>
      </w:tr>
    </w:tbl>
    <w:p w14:paraId="01BF809C">
      <w:pPr>
        <w:pStyle w:val="2"/>
        <w:ind w:firstLine="420"/>
        <w:rPr>
          <w:rFonts w:hint="eastAsia" w:ascii="仿宋_GB2312" w:hAnsi="仿宋_GB2312" w:eastAsia="仿宋_GB2312" w:cs="仿宋_GB2312"/>
          <w:szCs w:val="20"/>
        </w:rPr>
      </w:pPr>
    </w:p>
    <w:p w14:paraId="6F366382">
      <w:pPr>
        <w:keepNext w:val="0"/>
        <w:keepLines w:val="0"/>
        <w:pageBreakBefore w:val="0"/>
        <w:widowControl/>
        <w:kinsoku w:val="0"/>
        <w:wordWrap/>
        <w:overflowPunct/>
        <w:topLinePunct w:val="0"/>
        <w:autoSpaceDE w:val="0"/>
        <w:autoSpaceDN w:val="0"/>
        <w:bidi w:val="0"/>
        <w:adjustRightInd w:val="0"/>
        <w:snapToGrid w:val="0"/>
        <w:spacing w:before="110" w:line="240" w:lineRule="auto"/>
        <w:ind w:firstLine="0"/>
        <w:textAlignment w:val="baseline"/>
        <w:outlineLvl w:val="9"/>
        <w:rPr>
          <w:rFonts w:hint="eastAsia" w:ascii="黑体" w:hAnsi="黑体" w:eastAsia="黑体" w:cs="黑体"/>
          <w:b/>
          <w:bCs/>
          <w:spacing w:val="-11"/>
          <w:sz w:val="32"/>
          <w:szCs w:val="32"/>
          <w:lang w:eastAsia="zh-CN"/>
        </w:rPr>
      </w:pPr>
      <w:r>
        <w:rPr>
          <w:rFonts w:hint="eastAsia" w:ascii="黑体" w:hAnsi="黑体" w:eastAsia="黑体" w:cs="黑体"/>
          <w:b/>
          <w:bCs/>
          <w:spacing w:val="-11"/>
          <w:sz w:val="32"/>
          <w:szCs w:val="32"/>
          <w:lang w:eastAsia="zh-CN"/>
        </w:rPr>
        <w:t>四、竞赛方式</w:t>
      </w:r>
    </w:p>
    <w:p w14:paraId="1551321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（一）竞赛以团体赛方式线下进行。每支参赛队2名选手，参赛选手须为唐山市中等职业学校（含技工类学校）在籍学生</w:t>
      </w:r>
      <w:r>
        <w:rPr>
          <w:rFonts w:hint="eastAsia" w:ascii="仿宋" w:hAnsi="仿宋" w:eastAsia="仿宋" w:cs="仿宋"/>
          <w:spacing w:val="0"/>
          <w:position w:val="0"/>
          <w:sz w:val="28"/>
          <w:szCs w:val="28"/>
          <w:lang w:eastAsia="zh-CN"/>
        </w:rPr>
        <w:t>，“</w:t>
      </w:r>
      <w:r>
        <w:rPr>
          <w:rFonts w:hint="eastAsia" w:ascii="仿宋" w:hAnsi="仿宋" w:eastAsia="仿宋" w:cs="仿宋"/>
          <w:spacing w:val="0"/>
          <w:position w:val="0"/>
          <w:sz w:val="28"/>
          <w:szCs w:val="28"/>
          <w:lang w:val="en-US" w:eastAsia="zh-CN"/>
        </w:rPr>
        <w:t>3+2</w:t>
      </w:r>
      <w:r>
        <w:rPr>
          <w:rFonts w:hint="eastAsia" w:ascii="仿宋" w:hAnsi="仿宋" w:eastAsia="仿宋" w:cs="仿宋"/>
          <w:spacing w:val="0"/>
          <w:position w:val="0"/>
          <w:sz w:val="28"/>
          <w:szCs w:val="28"/>
          <w:lang w:eastAsia="zh-CN"/>
        </w:rPr>
        <w:t>”、“</w:t>
      </w:r>
      <w:r>
        <w:rPr>
          <w:rFonts w:hint="eastAsia" w:ascii="仿宋" w:hAnsi="仿宋" w:eastAsia="仿宋" w:cs="仿宋"/>
          <w:spacing w:val="0"/>
          <w:position w:val="0"/>
          <w:sz w:val="28"/>
          <w:szCs w:val="28"/>
          <w:lang w:val="en-US" w:eastAsia="zh-CN"/>
        </w:rPr>
        <w:t>3+4</w:t>
      </w:r>
      <w:r>
        <w:rPr>
          <w:rFonts w:hint="eastAsia" w:ascii="仿宋" w:hAnsi="仿宋" w:eastAsia="仿宋" w:cs="仿宋"/>
          <w:spacing w:val="0"/>
          <w:position w:val="0"/>
          <w:sz w:val="28"/>
          <w:szCs w:val="28"/>
          <w:lang w:eastAsia="zh-CN"/>
        </w:rPr>
        <w:t>”等贯通培养项目仅限中专段在籍生报名参加</w:t>
      </w:r>
      <w:r>
        <w:rPr>
          <w:rFonts w:hint="eastAsia" w:ascii="仿宋" w:hAnsi="仿宋" w:eastAsia="仿宋" w:cs="仿宋"/>
          <w:spacing w:val="0"/>
          <w:position w:val="0"/>
          <w:sz w:val="28"/>
          <w:szCs w:val="28"/>
        </w:rPr>
        <w:t>。</w:t>
      </w:r>
    </w:p>
    <w:p w14:paraId="44A75A5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（二）不得跨校组队，同一所学校参赛队不超过</w:t>
      </w:r>
      <w:r>
        <w:rPr>
          <w:rFonts w:hint="eastAsia" w:ascii="仿宋" w:hAnsi="仿宋" w:eastAsia="仿宋" w:cs="仿宋"/>
          <w:spacing w:val="0"/>
          <w:position w:val="0"/>
          <w:sz w:val="28"/>
          <w:szCs w:val="28"/>
          <w:lang w:val="en-US" w:eastAsia="zh-CN"/>
        </w:rPr>
        <w:t>2</w:t>
      </w:r>
      <w:r>
        <w:rPr>
          <w:rFonts w:hint="eastAsia" w:ascii="仿宋" w:hAnsi="仿宋" w:eastAsia="仿宋" w:cs="仿宋"/>
          <w:spacing w:val="0"/>
          <w:position w:val="0"/>
          <w:sz w:val="28"/>
          <w:szCs w:val="28"/>
        </w:rPr>
        <w:t>支；指导教师须为本校专兼职教师，每队限报2名指导教师。</w:t>
      </w:r>
    </w:p>
    <w:p w14:paraId="0F332529">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hint="eastAsia" w:ascii="仿宋" w:hAnsi="仿宋" w:eastAsia="仿宋" w:cs="仿宋"/>
          <w:spacing w:val="0"/>
          <w:position w:val="0"/>
          <w:sz w:val="28"/>
          <w:szCs w:val="28"/>
        </w:rPr>
      </w:pPr>
      <w:r>
        <w:rPr>
          <w:rFonts w:hint="eastAsia" w:ascii="仿宋" w:hAnsi="仿宋" w:eastAsia="仿宋" w:cs="仿宋"/>
          <w:spacing w:val="0"/>
          <w:position w:val="0"/>
          <w:sz w:val="28"/>
          <w:szCs w:val="28"/>
        </w:rPr>
        <w:t>（三）参赛选手和指导老师报名获得</w:t>
      </w:r>
      <w:r>
        <w:rPr>
          <w:rFonts w:hint="eastAsia" w:ascii="仿宋" w:hAnsi="仿宋" w:eastAsia="仿宋" w:cs="仿宋"/>
          <w:spacing w:val="0"/>
          <w:position w:val="0"/>
          <w:sz w:val="28"/>
          <w:szCs w:val="28"/>
          <w:lang w:val="en-US" w:eastAsia="zh-CN"/>
        </w:rPr>
        <w:t>审核</w:t>
      </w:r>
      <w:r>
        <w:rPr>
          <w:rFonts w:hint="eastAsia" w:ascii="仿宋" w:hAnsi="仿宋" w:eastAsia="仿宋" w:cs="仿宋"/>
          <w:spacing w:val="0"/>
          <w:position w:val="0"/>
          <w:sz w:val="28"/>
          <w:szCs w:val="28"/>
        </w:rPr>
        <w:t>后不得更换。</w:t>
      </w:r>
    </w:p>
    <w:p w14:paraId="0F688195">
      <w:pPr>
        <w:keepNext w:val="0"/>
        <w:keepLines w:val="0"/>
        <w:pageBreakBefore w:val="0"/>
        <w:widowControl/>
        <w:kinsoku w:val="0"/>
        <w:wordWrap/>
        <w:overflowPunct/>
        <w:topLinePunct w:val="0"/>
        <w:autoSpaceDE w:val="0"/>
        <w:autoSpaceDN w:val="0"/>
        <w:bidi w:val="0"/>
        <w:adjustRightInd w:val="0"/>
        <w:snapToGrid w:val="0"/>
        <w:spacing w:before="110" w:line="240" w:lineRule="auto"/>
        <w:ind w:firstLine="0"/>
        <w:textAlignment w:val="baseline"/>
        <w:outlineLvl w:val="9"/>
        <w:rPr>
          <w:rFonts w:hint="eastAsia" w:ascii="黑体" w:hAnsi="黑体" w:eastAsia="黑体" w:cs="黑体"/>
          <w:b/>
          <w:bCs/>
          <w:spacing w:val="-11"/>
          <w:sz w:val="32"/>
          <w:szCs w:val="32"/>
          <w:lang w:eastAsia="zh-CN"/>
        </w:rPr>
      </w:pPr>
      <w:r>
        <w:rPr>
          <w:rFonts w:hint="eastAsia" w:ascii="黑体" w:hAnsi="黑体" w:eastAsia="黑体" w:cs="黑体"/>
          <w:b/>
          <w:bCs/>
          <w:spacing w:val="-11"/>
          <w:sz w:val="32"/>
          <w:szCs w:val="32"/>
          <w:lang w:eastAsia="zh-CN"/>
        </w:rPr>
        <w:t>五、竞赛流程</w:t>
      </w:r>
    </w:p>
    <w:p w14:paraId="69795DC8">
      <w:pPr>
        <w:spacing w:before="221" w:line="223" w:lineRule="auto"/>
        <w:ind w:left="658"/>
        <w:rPr>
          <w:rFonts w:ascii="楷体" w:hAnsi="楷体" w:eastAsia="楷体" w:cs="楷体"/>
          <w:spacing w:val="-1"/>
          <w:sz w:val="31"/>
          <w:szCs w:val="31"/>
        </w:rPr>
      </w:pPr>
      <w:r>
        <w:rPr>
          <w:rFonts w:ascii="楷体" w:hAnsi="楷体" w:eastAsia="楷体" w:cs="楷体"/>
          <w:spacing w:val="-1"/>
          <w:sz w:val="31"/>
          <w:szCs w:val="31"/>
        </w:rPr>
        <w:t>（一）竞赛流程</w:t>
      </w:r>
    </w:p>
    <w:p w14:paraId="4FB764B9">
      <w:pPr>
        <w:spacing w:before="221" w:line="223" w:lineRule="auto"/>
        <w:ind w:left="658"/>
      </w:pPr>
      <w:r>
        <w:rPr>
          <w:position w:val="-169"/>
        </w:rPr>
        <w:drawing>
          <wp:inline distT="0" distB="0" distL="0" distR="0">
            <wp:extent cx="4559300" cy="3978910"/>
            <wp:effectExtent l="0" t="0" r="12700" b="254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7"/>
                    <a:stretch>
                      <a:fillRect/>
                    </a:stretch>
                  </pic:blipFill>
                  <pic:spPr>
                    <a:xfrm>
                      <a:off x="0" y="0"/>
                      <a:ext cx="4559300" cy="3978910"/>
                    </a:xfrm>
                    <a:prstGeom prst="rect">
                      <a:avLst/>
                    </a:prstGeom>
                  </pic:spPr>
                </pic:pic>
              </a:graphicData>
            </a:graphic>
          </wp:inline>
        </w:drawing>
      </w:r>
    </w:p>
    <w:p w14:paraId="52589121">
      <w:pPr>
        <w:spacing w:line="8470" w:lineRule="exact"/>
        <w:sectPr>
          <w:footerReference r:id="rId5" w:type="default"/>
          <w:pgSz w:w="11910" w:h="16840"/>
          <w:pgMar w:top="1431" w:right="1786" w:bottom="1340" w:left="1786" w:header="0" w:footer="567" w:gutter="0"/>
          <w:pgNumType w:fmt="decimal"/>
          <w:cols w:space="720" w:num="1"/>
        </w:sectPr>
      </w:pPr>
    </w:p>
    <w:p w14:paraId="7A1483C2">
      <w:pPr>
        <w:spacing w:before="216" w:line="600" w:lineRule="exact"/>
        <w:ind w:left="658"/>
        <w:rPr>
          <w:rFonts w:ascii="楷体" w:hAnsi="楷体" w:eastAsia="楷体" w:cs="楷体"/>
          <w:sz w:val="31"/>
          <w:szCs w:val="31"/>
        </w:rPr>
      </w:pPr>
      <w:r>
        <w:rPr>
          <w:rFonts w:ascii="楷体" w:hAnsi="楷体" w:eastAsia="楷体" w:cs="楷体"/>
          <w:spacing w:val="2"/>
          <w:position w:val="21"/>
          <w:sz w:val="31"/>
          <w:szCs w:val="31"/>
        </w:rPr>
        <w:t>（二）竞赛日程安排</w:t>
      </w:r>
    </w:p>
    <w:p w14:paraId="3E758940">
      <w:pPr>
        <w:spacing w:line="223" w:lineRule="auto"/>
        <w:ind w:left="677"/>
        <w:rPr>
          <w:rFonts w:ascii="仿宋" w:hAnsi="仿宋" w:eastAsia="仿宋" w:cs="仿宋"/>
          <w:sz w:val="31"/>
          <w:szCs w:val="31"/>
        </w:rPr>
      </w:pPr>
      <w:r>
        <w:rPr>
          <w:rFonts w:ascii="仿宋" w:hAnsi="仿宋" w:eastAsia="仿宋" w:cs="仿宋"/>
          <w:spacing w:val="6"/>
          <w:sz w:val="31"/>
          <w:szCs w:val="31"/>
        </w:rPr>
        <w:t>竞赛时间</w:t>
      </w:r>
      <w:r>
        <w:rPr>
          <w:rFonts w:hint="eastAsia" w:ascii="仿宋" w:hAnsi="仿宋" w:eastAsia="仿宋" w:cs="仿宋"/>
          <w:spacing w:val="6"/>
          <w:sz w:val="31"/>
          <w:szCs w:val="31"/>
          <w:lang w:eastAsia="zh-CN"/>
        </w:rPr>
        <w:t>为一</w:t>
      </w:r>
      <w:r>
        <w:rPr>
          <w:rFonts w:ascii="仿宋" w:hAnsi="仿宋" w:eastAsia="仿宋" w:cs="仿宋"/>
          <w:spacing w:val="6"/>
          <w:sz w:val="31"/>
          <w:szCs w:val="31"/>
        </w:rPr>
        <w:t>天完成。</w:t>
      </w:r>
    </w:p>
    <w:p w14:paraId="1D616626">
      <w:pPr>
        <w:spacing w:before="256" w:line="222" w:lineRule="auto"/>
        <w:ind w:left="2817"/>
        <w:rPr>
          <w:rFonts w:ascii="黑体" w:hAnsi="黑体" w:eastAsia="黑体" w:cs="黑体"/>
          <w:sz w:val="28"/>
          <w:szCs w:val="28"/>
        </w:rPr>
      </w:pPr>
      <w:r>
        <w:rPr>
          <w:rFonts w:ascii="黑体" w:hAnsi="黑体" w:eastAsia="黑体" w:cs="黑体"/>
          <w:spacing w:val="-2"/>
          <w:sz w:val="28"/>
          <w:szCs w:val="28"/>
        </w:rPr>
        <w:t>表</w:t>
      </w:r>
      <w:r>
        <w:rPr>
          <w:rFonts w:ascii="Times New Roman" w:hAnsi="Times New Roman" w:eastAsia="Times New Roman" w:cs="Times New Roman"/>
          <w:spacing w:val="-2"/>
          <w:sz w:val="28"/>
          <w:szCs w:val="28"/>
        </w:rPr>
        <w:t>2</w:t>
      </w:r>
      <w:r>
        <w:rPr>
          <w:rFonts w:hint="eastAsia" w:ascii="Times New Roman" w:hAnsi="Times New Roman" w:eastAsia="宋体" w:cs="Times New Roman"/>
          <w:spacing w:val="-2"/>
          <w:sz w:val="28"/>
          <w:szCs w:val="28"/>
          <w:lang w:val="en-US" w:eastAsia="zh-CN"/>
        </w:rPr>
        <w:t xml:space="preserve">    </w:t>
      </w:r>
      <w:r>
        <w:rPr>
          <w:rFonts w:ascii="黑体" w:hAnsi="黑体" w:eastAsia="黑体" w:cs="黑体"/>
          <w:spacing w:val="-2"/>
          <w:sz w:val="28"/>
          <w:szCs w:val="28"/>
        </w:rPr>
        <w:t>竞赛日常安排表</w:t>
      </w:r>
    </w:p>
    <w:p w14:paraId="6E79C243">
      <w:pPr>
        <w:spacing w:line="23" w:lineRule="exact"/>
      </w:pPr>
    </w:p>
    <w:tbl>
      <w:tblPr>
        <w:tblStyle w:val="9"/>
        <w:tblW w:w="8304"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8"/>
        <w:gridCol w:w="1700"/>
        <w:gridCol w:w="2691"/>
        <w:gridCol w:w="1984"/>
        <w:gridCol w:w="1221"/>
      </w:tblGrid>
      <w:tr w14:paraId="3B7437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7" w:hRule="atLeast"/>
        </w:trPr>
        <w:tc>
          <w:tcPr>
            <w:tcW w:w="708" w:type="dxa"/>
            <w:vAlign w:val="center"/>
          </w:tcPr>
          <w:p w14:paraId="55ED79C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8"/>
                <w:sz w:val="24"/>
                <w:szCs w:val="24"/>
                <w14:textOutline w14:w="4358" w14:cap="sq" w14:cmpd="sng">
                  <w14:solidFill>
                    <w14:srgbClr w14:val="000000"/>
                  </w14:solidFill>
                  <w14:prstDash w14:val="solid"/>
                  <w14:bevel/>
                </w14:textOutline>
              </w:rPr>
              <w:t>日期</w:t>
            </w:r>
          </w:p>
        </w:tc>
        <w:tc>
          <w:tcPr>
            <w:tcW w:w="1700" w:type="dxa"/>
            <w:vAlign w:val="center"/>
          </w:tcPr>
          <w:p w14:paraId="1E652BA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16"/>
                <w:sz w:val="24"/>
                <w:szCs w:val="24"/>
                <w14:textOutline w14:w="4358" w14:cap="sq" w14:cmpd="sng">
                  <w14:solidFill>
                    <w14:srgbClr w14:val="000000"/>
                  </w14:solidFill>
                  <w14:prstDash w14:val="solid"/>
                  <w14:bevel/>
                </w14:textOutline>
              </w:rPr>
              <w:t>时间</w:t>
            </w:r>
          </w:p>
        </w:tc>
        <w:tc>
          <w:tcPr>
            <w:tcW w:w="2691" w:type="dxa"/>
            <w:vAlign w:val="center"/>
          </w:tcPr>
          <w:p w14:paraId="36CFC79F">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2"/>
                <w:sz w:val="24"/>
                <w:szCs w:val="24"/>
                <w14:textOutline w14:w="4358" w14:cap="sq" w14:cmpd="sng">
                  <w14:solidFill>
                    <w14:srgbClr w14:val="000000"/>
                  </w14:solidFill>
                  <w14:prstDash w14:val="solid"/>
                  <w14:bevel/>
                </w14:textOutline>
              </w:rPr>
              <w:t>内容</w:t>
            </w:r>
          </w:p>
        </w:tc>
        <w:tc>
          <w:tcPr>
            <w:tcW w:w="1984" w:type="dxa"/>
            <w:vAlign w:val="center"/>
          </w:tcPr>
          <w:p w14:paraId="36EF4A0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14:textOutline w14:w="4358" w14:cap="sq" w14:cmpd="sng">
                  <w14:solidFill>
                    <w14:srgbClr w14:val="000000"/>
                  </w14:solidFill>
                  <w14:prstDash w14:val="solid"/>
                  <w14:bevel/>
                </w14:textOutline>
              </w:rPr>
              <w:t>参加人员</w:t>
            </w:r>
          </w:p>
        </w:tc>
        <w:tc>
          <w:tcPr>
            <w:tcW w:w="1221" w:type="dxa"/>
            <w:vAlign w:val="center"/>
          </w:tcPr>
          <w:p w14:paraId="7E41109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4"/>
                <w:sz w:val="24"/>
                <w:szCs w:val="24"/>
                <w14:textOutline w14:w="4358" w14:cap="sq" w14:cmpd="sng">
                  <w14:solidFill>
                    <w14:srgbClr w14:val="000000"/>
                  </w14:solidFill>
                  <w14:prstDash w14:val="solid"/>
                  <w14:bevel/>
                </w14:textOutline>
              </w:rPr>
              <w:t>地点</w:t>
            </w:r>
          </w:p>
        </w:tc>
      </w:tr>
      <w:tr w14:paraId="549F7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1" w:hRule="atLeast"/>
        </w:trPr>
        <w:tc>
          <w:tcPr>
            <w:tcW w:w="708" w:type="dxa"/>
            <w:vMerge w:val="restart"/>
            <w:tcBorders>
              <w:bottom w:val="nil"/>
            </w:tcBorders>
            <w:vAlign w:val="center"/>
          </w:tcPr>
          <w:p w14:paraId="1222FDE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cs="仿宋"/>
                <w:spacing w:val="-9"/>
                <w:sz w:val="24"/>
                <w:szCs w:val="24"/>
                <w:lang w:eastAsia="zh-CN"/>
              </w:rPr>
              <w:t>竞</w:t>
            </w:r>
            <w:r>
              <w:rPr>
                <w:rFonts w:hint="eastAsia" w:ascii="仿宋" w:hAnsi="仿宋" w:eastAsia="仿宋" w:cs="仿宋"/>
                <w:spacing w:val="-9"/>
                <w:sz w:val="24"/>
                <w:szCs w:val="24"/>
              </w:rPr>
              <w:t>赛</w:t>
            </w:r>
            <w:r>
              <w:rPr>
                <w:rFonts w:hint="eastAsia" w:ascii="仿宋" w:hAnsi="仿宋" w:eastAsia="仿宋" w:cs="仿宋"/>
                <w:spacing w:val="-13"/>
                <w:sz w:val="24"/>
                <w:szCs w:val="24"/>
              </w:rPr>
              <w:t>日第一天</w:t>
            </w:r>
          </w:p>
        </w:tc>
        <w:tc>
          <w:tcPr>
            <w:tcW w:w="1700" w:type="dxa"/>
            <w:vAlign w:val="center"/>
          </w:tcPr>
          <w:p w14:paraId="6804DAA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7：20-7：40</w:t>
            </w:r>
          </w:p>
        </w:tc>
        <w:tc>
          <w:tcPr>
            <w:tcW w:w="2691" w:type="dxa"/>
            <w:vAlign w:val="center"/>
          </w:tcPr>
          <w:p w14:paraId="5789A3B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4"/>
                <w:sz w:val="24"/>
                <w:szCs w:val="24"/>
              </w:rPr>
              <w:t>选手检录</w:t>
            </w:r>
            <w:r>
              <w:rPr>
                <w:rFonts w:hint="eastAsia" w:ascii="仿宋" w:hAnsi="仿宋" w:eastAsia="仿宋" w:cs="仿宋"/>
                <w:spacing w:val="-2"/>
                <w:sz w:val="24"/>
                <w:szCs w:val="24"/>
                <w:lang w:val="en-US" w:eastAsia="zh-CN"/>
              </w:rPr>
              <w:t>和</w:t>
            </w:r>
            <w:r>
              <w:rPr>
                <w:rFonts w:hint="eastAsia" w:ascii="仿宋" w:hAnsi="仿宋" w:eastAsia="仿宋" w:cs="仿宋"/>
                <w:spacing w:val="-3"/>
                <w:sz w:val="24"/>
                <w:szCs w:val="24"/>
                <w:lang w:val="en-US" w:eastAsia="zh-CN"/>
              </w:rPr>
              <w:t>抽签</w:t>
            </w:r>
          </w:p>
        </w:tc>
        <w:tc>
          <w:tcPr>
            <w:tcW w:w="1984" w:type="dxa"/>
            <w:vAlign w:val="center"/>
          </w:tcPr>
          <w:p w14:paraId="27652FD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4"/>
                <w:sz w:val="24"/>
                <w:szCs w:val="24"/>
              </w:rPr>
              <w:t>选手、</w:t>
            </w:r>
            <w:r>
              <w:rPr>
                <w:rFonts w:hint="eastAsia" w:ascii="仿宋" w:hAnsi="仿宋" w:eastAsia="仿宋" w:cs="仿宋"/>
                <w:spacing w:val="-5"/>
                <w:sz w:val="24"/>
                <w:szCs w:val="24"/>
              </w:rPr>
              <w:t>监督人员</w:t>
            </w:r>
          </w:p>
        </w:tc>
        <w:tc>
          <w:tcPr>
            <w:tcW w:w="1221" w:type="dxa"/>
            <w:vAlign w:val="center"/>
          </w:tcPr>
          <w:p w14:paraId="221262F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501A11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708" w:type="dxa"/>
            <w:vMerge w:val="continue"/>
            <w:tcBorders>
              <w:top w:val="nil"/>
              <w:bottom w:val="nil"/>
            </w:tcBorders>
            <w:vAlign w:val="center"/>
          </w:tcPr>
          <w:p w14:paraId="46142613">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770BF7F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7：40-7：55</w:t>
            </w:r>
          </w:p>
        </w:tc>
        <w:tc>
          <w:tcPr>
            <w:tcW w:w="2691" w:type="dxa"/>
            <w:vAlign w:val="center"/>
          </w:tcPr>
          <w:p w14:paraId="181F7F75">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1"/>
                <w:sz w:val="24"/>
                <w:szCs w:val="24"/>
              </w:rPr>
              <w:t>每支参赛队抽取一个竞</w:t>
            </w:r>
            <w:r>
              <w:rPr>
                <w:rFonts w:hint="eastAsia" w:ascii="仿宋" w:hAnsi="仿宋" w:eastAsia="仿宋" w:cs="仿宋"/>
                <w:spacing w:val="-6"/>
                <w:sz w:val="24"/>
                <w:szCs w:val="24"/>
              </w:rPr>
              <w:t>赛轮次号（加密）</w:t>
            </w:r>
          </w:p>
        </w:tc>
        <w:tc>
          <w:tcPr>
            <w:tcW w:w="1984" w:type="dxa"/>
            <w:vAlign w:val="center"/>
          </w:tcPr>
          <w:p w14:paraId="4B22F0E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13"/>
                <w:sz w:val="24"/>
                <w:szCs w:val="24"/>
              </w:rPr>
              <w:t>选手、加密裁判</w:t>
            </w:r>
            <w:r>
              <w:rPr>
                <w:rFonts w:hint="eastAsia" w:cs="仿宋"/>
                <w:spacing w:val="-13"/>
                <w:sz w:val="24"/>
                <w:szCs w:val="24"/>
                <w:lang w:eastAsia="zh-CN"/>
              </w:rPr>
              <w:t>、</w:t>
            </w:r>
            <w:r>
              <w:rPr>
                <w:rFonts w:hint="eastAsia" w:ascii="仿宋" w:hAnsi="仿宋" w:eastAsia="仿宋" w:cs="仿宋"/>
                <w:spacing w:val="-5"/>
                <w:sz w:val="24"/>
                <w:szCs w:val="24"/>
              </w:rPr>
              <w:t>监督人员</w:t>
            </w:r>
          </w:p>
        </w:tc>
        <w:tc>
          <w:tcPr>
            <w:tcW w:w="1221" w:type="dxa"/>
            <w:vAlign w:val="center"/>
          </w:tcPr>
          <w:p w14:paraId="58A79EE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5D27CF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708" w:type="dxa"/>
            <w:vMerge w:val="continue"/>
            <w:tcBorders>
              <w:top w:val="nil"/>
              <w:bottom w:val="nil"/>
            </w:tcBorders>
            <w:vAlign w:val="center"/>
          </w:tcPr>
          <w:p w14:paraId="5DA9235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0EC789B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7：55-8：00</w:t>
            </w:r>
          </w:p>
        </w:tc>
        <w:tc>
          <w:tcPr>
            <w:tcW w:w="2691" w:type="dxa"/>
            <w:vAlign w:val="center"/>
          </w:tcPr>
          <w:p w14:paraId="1BB02F65">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选手抽取工位号</w:t>
            </w:r>
          </w:p>
        </w:tc>
        <w:tc>
          <w:tcPr>
            <w:tcW w:w="1984" w:type="dxa"/>
            <w:vAlign w:val="center"/>
          </w:tcPr>
          <w:p w14:paraId="2FC9525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13"/>
                <w:sz w:val="24"/>
                <w:szCs w:val="24"/>
              </w:rPr>
              <w:t>选手、</w:t>
            </w:r>
            <w:r>
              <w:rPr>
                <w:rFonts w:hint="eastAsia" w:cs="仿宋"/>
                <w:spacing w:val="-13"/>
                <w:sz w:val="24"/>
                <w:szCs w:val="24"/>
                <w:lang w:eastAsia="zh-CN"/>
              </w:rPr>
              <w:t>工作人员、</w:t>
            </w:r>
            <w:r>
              <w:rPr>
                <w:rFonts w:hint="eastAsia" w:ascii="仿宋" w:hAnsi="仿宋" w:eastAsia="仿宋" w:cs="仿宋"/>
                <w:spacing w:val="-5"/>
                <w:sz w:val="24"/>
                <w:szCs w:val="24"/>
              </w:rPr>
              <w:t>监督人员</w:t>
            </w:r>
          </w:p>
        </w:tc>
        <w:tc>
          <w:tcPr>
            <w:tcW w:w="1221" w:type="dxa"/>
            <w:vAlign w:val="center"/>
          </w:tcPr>
          <w:p w14:paraId="275F1C2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044EC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708" w:type="dxa"/>
            <w:vMerge w:val="continue"/>
            <w:tcBorders>
              <w:top w:val="nil"/>
              <w:bottom w:val="nil"/>
            </w:tcBorders>
            <w:vAlign w:val="center"/>
          </w:tcPr>
          <w:p w14:paraId="13EB9EF6">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1EABEF4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5"/>
                <w:sz w:val="24"/>
                <w:szCs w:val="24"/>
              </w:rPr>
              <w:t>8：00-12：00</w:t>
            </w:r>
          </w:p>
        </w:tc>
        <w:tc>
          <w:tcPr>
            <w:tcW w:w="2691" w:type="dxa"/>
            <w:vAlign w:val="center"/>
          </w:tcPr>
          <w:p w14:paraId="0FBEC91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6"/>
                <w:sz w:val="24"/>
                <w:szCs w:val="24"/>
              </w:rPr>
              <w:t>模块A、模块B</w:t>
            </w:r>
            <w:r>
              <w:rPr>
                <w:rFonts w:hint="eastAsia" w:ascii="仿宋" w:hAnsi="仿宋" w:eastAsia="仿宋" w:cs="仿宋"/>
                <w:spacing w:val="-23"/>
                <w:sz w:val="24"/>
                <w:szCs w:val="24"/>
              </w:rPr>
              <w:t>比赛</w:t>
            </w:r>
          </w:p>
        </w:tc>
        <w:tc>
          <w:tcPr>
            <w:tcW w:w="1984" w:type="dxa"/>
            <w:vAlign w:val="center"/>
          </w:tcPr>
          <w:p w14:paraId="47EB8DF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选手、裁判、监</w:t>
            </w:r>
            <w:r>
              <w:rPr>
                <w:rFonts w:hint="eastAsia" w:ascii="仿宋" w:hAnsi="仿宋" w:eastAsia="仿宋" w:cs="仿宋"/>
                <w:spacing w:val="-4"/>
                <w:sz w:val="24"/>
                <w:szCs w:val="24"/>
              </w:rPr>
              <w:t>督人员</w:t>
            </w:r>
          </w:p>
        </w:tc>
        <w:tc>
          <w:tcPr>
            <w:tcW w:w="1221" w:type="dxa"/>
            <w:vAlign w:val="center"/>
          </w:tcPr>
          <w:p w14:paraId="75D4CA8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7890AE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708" w:type="dxa"/>
            <w:vMerge w:val="continue"/>
            <w:tcBorders>
              <w:top w:val="nil"/>
              <w:bottom w:val="nil"/>
            </w:tcBorders>
            <w:vAlign w:val="center"/>
          </w:tcPr>
          <w:p w14:paraId="0AA9761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29F5746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9"/>
                <w:sz w:val="24"/>
                <w:szCs w:val="24"/>
              </w:rPr>
              <w:t>12：00-12：30</w:t>
            </w:r>
          </w:p>
        </w:tc>
        <w:tc>
          <w:tcPr>
            <w:tcW w:w="2691" w:type="dxa"/>
            <w:vAlign w:val="center"/>
          </w:tcPr>
          <w:p w14:paraId="0AAE5FC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12"/>
                <w:sz w:val="24"/>
                <w:szCs w:val="24"/>
              </w:rPr>
              <w:t>午餐</w:t>
            </w:r>
          </w:p>
        </w:tc>
        <w:tc>
          <w:tcPr>
            <w:tcW w:w="1984" w:type="dxa"/>
            <w:vAlign w:val="center"/>
          </w:tcPr>
          <w:p w14:paraId="3E8B8F2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选手、裁判、监</w:t>
            </w:r>
            <w:r>
              <w:rPr>
                <w:rFonts w:hint="eastAsia" w:ascii="仿宋" w:hAnsi="仿宋" w:eastAsia="仿宋" w:cs="仿宋"/>
                <w:spacing w:val="-4"/>
                <w:sz w:val="24"/>
                <w:szCs w:val="24"/>
              </w:rPr>
              <w:t>督人员</w:t>
            </w:r>
          </w:p>
        </w:tc>
        <w:tc>
          <w:tcPr>
            <w:tcW w:w="1221" w:type="dxa"/>
            <w:vAlign w:val="center"/>
          </w:tcPr>
          <w:p w14:paraId="1354329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21917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4" w:hRule="atLeast"/>
        </w:trPr>
        <w:tc>
          <w:tcPr>
            <w:tcW w:w="708" w:type="dxa"/>
            <w:vMerge w:val="continue"/>
            <w:tcBorders>
              <w:top w:val="nil"/>
              <w:bottom w:val="nil"/>
            </w:tcBorders>
            <w:vAlign w:val="center"/>
          </w:tcPr>
          <w:p w14:paraId="4EBFED9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63692CB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9"/>
                <w:sz w:val="24"/>
                <w:szCs w:val="24"/>
              </w:rPr>
              <w:t>12：30-19：00</w:t>
            </w:r>
          </w:p>
        </w:tc>
        <w:tc>
          <w:tcPr>
            <w:tcW w:w="2691" w:type="dxa"/>
            <w:vAlign w:val="center"/>
          </w:tcPr>
          <w:p w14:paraId="12C6D25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6"/>
                <w:sz w:val="24"/>
                <w:szCs w:val="24"/>
              </w:rPr>
              <w:t>模块A、模块B</w:t>
            </w:r>
            <w:r>
              <w:rPr>
                <w:rFonts w:hint="eastAsia" w:ascii="仿宋" w:hAnsi="仿宋" w:eastAsia="仿宋" w:cs="仿宋"/>
                <w:spacing w:val="-5"/>
                <w:sz w:val="24"/>
                <w:szCs w:val="24"/>
              </w:rPr>
              <w:t>比赛</w:t>
            </w:r>
          </w:p>
        </w:tc>
        <w:tc>
          <w:tcPr>
            <w:tcW w:w="1984" w:type="dxa"/>
            <w:vAlign w:val="center"/>
          </w:tcPr>
          <w:p w14:paraId="05C5107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选手、裁判、监</w:t>
            </w:r>
            <w:r>
              <w:rPr>
                <w:rFonts w:hint="eastAsia" w:ascii="仿宋" w:hAnsi="仿宋" w:eastAsia="仿宋" w:cs="仿宋"/>
                <w:spacing w:val="-4"/>
                <w:sz w:val="24"/>
                <w:szCs w:val="24"/>
              </w:rPr>
              <w:t>督人员</w:t>
            </w:r>
          </w:p>
        </w:tc>
        <w:tc>
          <w:tcPr>
            <w:tcW w:w="1221" w:type="dxa"/>
            <w:vAlign w:val="center"/>
          </w:tcPr>
          <w:p w14:paraId="5625599C">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p w14:paraId="34EC466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6F7862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trPr>
        <w:tc>
          <w:tcPr>
            <w:tcW w:w="708" w:type="dxa"/>
            <w:vMerge w:val="continue"/>
            <w:tcBorders>
              <w:top w:val="nil"/>
              <w:bottom w:val="nil"/>
            </w:tcBorders>
            <w:vAlign w:val="center"/>
          </w:tcPr>
          <w:p w14:paraId="4D0DF1A9">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7C2619B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6"/>
                <w:sz w:val="24"/>
                <w:szCs w:val="24"/>
              </w:rPr>
              <w:t>19：00-20：00</w:t>
            </w:r>
          </w:p>
        </w:tc>
        <w:tc>
          <w:tcPr>
            <w:tcW w:w="2691" w:type="dxa"/>
            <w:vAlign w:val="center"/>
          </w:tcPr>
          <w:p w14:paraId="2EB9ED3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作品加密（</w:t>
            </w:r>
            <w:r>
              <w:rPr>
                <w:rFonts w:hint="eastAsia" w:cs="仿宋"/>
                <w:spacing w:val="-2"/>
                <w:sz w:val="24"/>
                <w:szCs w:val="24"/>
                <w:lang w:eastAsia="zh-CN"/>
              </w:rPr>
              <w:t>二</w:t>
            </w:r>
            <w:r>
              <w:rPr>
                <w:rFonts w:hint="eastAsia" w:ascii="仿宋" w:hAnsi="仿宋" w:eastAsia="仿宋" w:cs="仿宋"/>
                <w:spacing w:val="-2"/>
                <w:sz w:val="24"/>
                <w:szCs w:val="24"/>
              </w:rPr>
              <w:t>次加密）</w:t>
            </w:r>
          </w:p>
        </w:tc>
        <w:tc>
          <w:tcPr>
            <w:tcW w:w="1984" w:type="dxa"/>
            <w:vAlign w:val="center"/>
          </w:tcPr>
          <w:p w14:paraId="046ED91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加密裁判</w:t>
            </w:r>
          </w:p>
        </w:tc>
        <w:tc>
          <w:tcPr>
            <w:tcW w:w="1221" w:type="dxa"/>
            <w:vAlign w:val="center"/>
          </w:tcPr>
          <w:p w14:paraId="076BA72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38F8FE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708" w:type="dxa"/>
            <w:vMerge w:val="continue"/>
            <w:tcBorders>
              <w:top w:val="nil"/>
            </w:tcBorders>
            <w:vAlign w:val="center"/>
          </w:tcPr>
          <w:p w14:paraId="72F4225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32EFA81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4"/>
                <w:sz w:val="24"/>
                <w:szCs w:val="24"/>
              </w:rPr>
              <w:t>20：00-22：30</w:t>
            </w:r>
          </w:p>
        </w:tc>
        <w:tc>
          <w:tcPr>
            <w:tcW w:w="2691" w:type="dxa"/>
            <w:vAlign w:val="center"/>
          </w:tcPr>
          <w:p w14:paraId="08BC4E8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评分、统计</w:t>
            </w:r>
          </w:p>
        </w:tc>
        <w:tc>
          <w:tcPr>
            <w:tcW w:w="1984" w:type="dxa"/>
            <w:vAlign w:val="center"/>
          </w:tcPr>
          <w:p w14:paraId="6BBA3EA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2"/>
                <w:sz w:val="24"/>
                <w:szCs w:val="24"/>
              </w:rPr>
              <w:t>裁判、统分员</w:t>
            </w:r>
          </w:p>
        </w:tc>
        <w:tc>
          <w:tcPr>
            <w:tcW w:w="1221" w:type="dxa"/>
            <w:vAlign w:val="center"/>
          </w:tcPr>
          <w:p w14:paraId="132FE25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rPr>
              <w:t>赛场</w:t>
            </w:r>
          </w:p>
        </w:tc>
      </w:tr>
      <w:tr w14:paraId="497B57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708" w:type="dxa"/>
            <w:vMerge w:val="restart"/>
            <w:vAlign w:val="center"/>
          </w:tcPr>
          <w:p w14:paraId="1F973F3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2043B3C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57A5303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256F1DD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0706941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r w14:paraId="7232C8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708" w:type="dxa"/>
            <w:vMerge w:val="continue"/>
            <w:vAlign w:val="center"/>
          </w:tcPr>
          <w:p w14:paraId="21A2EB02">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45E4D1E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30C2A1A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4BECD02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78893A1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r w14:paraId="5CB46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3" w:hRule="atLeast"/>
        </w:trPr>
        <w:tc>
          <w:tcPr>
            <w:tcW w:w="708" w:type="dxa"/>
            <w:vMerge w:val="continue"/>
            <w:vAlign w:val="center"/>
          </w:tcPr>
          <w:p w14:paraId="13E1BE50">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744CCDD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4D8EB9C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2892EBD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0E81A97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r w14:paraId="08D38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0" w:hRule="atLeast"/>
        </w:trPr>
        <w:tc>
          <w:tcPr>
            <w:tcW w:w="708" w:type="dxa"/>
            <w:vMerge w:val="continue"/>
            <w:vAlign w:val="center"/>
          </w:tcPr>
          <w:p w14:paraId="5B84828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1933996F">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1FCDDDD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0AE51C9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6EE713CF">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r w14:paraId="704A6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2" w:hRule="atLeast"/>
        </w:trPr>
        <w:tc>
          <w:tcPr>
            <w:tcW w:w="708" w:type="dxa"/>
            <w:vMerge w:val="continue"/>
            <w:vAlign w:val="center"/>
          </w:tcPr>
          <w:p w14:paraId="1674871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796086F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362C37B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1071995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4FC8D82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r w14:paraId="4C971B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708" w:type="dxa"/>
            <w:vMerge w:val="continue"/>
            <w:vAlign w:val="center"/>
          </w:tcPr>
          <w:p w14:paraId="2B03813E">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5494632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0F80F4F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285A2CE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205B18F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r w14:paraId="1A16F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8" w:hRule="atLeast"/>
        </w:trPr>
        <w:tc>
          <w:tcPr>
            <w:tcW w:w="708" w:type="dxa"/>
            <w:vMerge w:val="continue"/>
            <w:vAlign w:val="center"/>
          </w:tcPr>
          <w:p w14:paraId="1BAC7B84">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0730436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3486808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260D8DC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48F3A4D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r w14:paraId="04E70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9" w:hRule="atLeast"/>
        </w:trPr>
        <w:tc>
          <w:tcPr>
            <w:tcW w:w="708" w:type="dxa"/>
            <w:vMerge w:val="continue"/>
            <w:vAlign w:val="center"/>
          </w:tcPr>
          <w:p w14:paraId="312E1981">
            <w:pPr>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700" w:type="dxa"/>
            <w:vAlign w:val="center"/>
          </w:tcPr>
          <w:p w14:paraId="785B64A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2691" w:type="dxa"/>
            <w:vAlign w:val="center"/>
          </w:tcPr>
          <w:p w14:paraId="7537932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984" w:type="dxa"/>
            <w:vAlign w:val="center"/>
          </w:tcPr>
          <w:p w14:paraId="4245540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c>
          <w:tcPr>
            <w:tcW w:w="1221" w:type="dxa"/>
            <w:vAlign w:val="center"/>
          </w:tcPr>
          <w:p w14:paraId="5B5ABAD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right="0" w:firstLine="0"/>
              <w:jc w:val="center"/>
              <w:textAlignment w:val="baseline"/>
              <w:rPr>
                <w:rFonts w:hint="eastAsia" w:ascii="仿宋" w:hAnsi="仿宋" w:eastAsia="仿宋" w:cs="仿宋"/>
                <w:sz w:val="24"/>
                <w:szCs w:val="24"/>
              </w:rPr>
            </w:pPr>
          </w:p>
        </w:tc>
      </w:tr>
    </w:tbl>
    <w:p w14:paraId="0AC4B362">
      <w:pPr>
        <w:keepNext w:val="0"/>
        <w:keepLines w:val="0"/>
        <w:pageBreakBefore w:val="0"/>
        <w:widowControl/>
        <w:kinsoku w:val="0"/>
        <w:wordWrap/>
        <w:overflowPunct/>
        <w:topLinePunct w:val="0"/>
        <w:autoSpaceDE w:val="0"/>
        <w:autoSpaceDN w:val="0"/>
        <w:bidi w:val="0"/>
        <w:adjustRightInd w:val="0"/>
        <w:snapToGrid w:val="0"/>
        <w:spacing w:before="110" w:line="240" w:lineRule="auto"/>
        <w:ind w:firstLine="0"/>
        <w:textAlignment w:val="baseline"/>
        <w:outlineLvl w:val="9"/>
        <w:rPr>
          <w:rFonts w:hint="eastAsia" w:ascii="仿宋" w:hAnsi="仿宋" w:eastAsia="仿宋" w:cs="仿宋"/>
          <w:b/>
          <w:bCs/>
          <w:spacing w:val="-11"/>
          <w:sz w:val="28"/>
          <w:szCs w:val="28"/>
          <w:lang w:eastAsia="zh-CN"/>
        </w:rPr>
      </w:pPr>
    </w:p>
    <w:p w14:paraId="1E129241">
      <w:pPr>
        <w:keepNext w:val="0"/>
        <w:keepLines w:val="0"/>
        <w:pageBreakBefore w:val="0"/>
        <w:widowControl/>
        <w:kinsoku w:val="0"/>
        <w:wordWrap/>
        <w:overflowPunct/>
        <w:topLinePunct w:val="0"/>
        <w:autoSpaceDE w:val="0"/>
        <w:autoSpaceDN w:val="0"/>
        <w:bidi w:val="0"/>
        <w:adjustRightInd w:val="0"/>
        <w:snapToGrid w:val="0"/>
        <w:spacing w:before="110" w:line="240" w:lineRule="auto"/>
        <w:ind w:firstLine="0"/>
        <w:textAlignment w:val="baseline"/>
        <w:outlineLvl w:val="9"/>
        <w:rPr>
          <w:rFonts w:hint="eastAsia" w:ascii="黑体" w:hAnsi="黑体" w:eastAsia="黑体" w:cs="黑体"/>
          <w:b/>
          <w:bCs/>
          <w:spacing w:val="-11"/>
          <w:sz w:val="32"/>
          <w:szCs w:val="32"/>
          <w:lang w:eastAsia="zh-CN"/>
        </w:rPr>
      </w:pPr>
      <w:r>
        <w:rPr>
          <w:rFonts w:hint="eastAsia" w:ascii="黑体" w:hAnsi="黑体" w:eastAsia="黑体" w:cs="黑体"/>
          <w:b/>
          <w:bCs/>
          <w:spacing w:val="-11"/>
          <w:sz w:val="32"/>
          <w:szCs w:val="32"/>
          <w:lang w:eastAsia="zh-CN"/>
        </w:rPr>
        <w:t>六、竞赛规则</w:t>
      </w:r>
    </w:p>
    <w:p w14:paraId="42E1098F">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z w:val="30"/>
          <w:szCs w:val="30"/>
        </w:rPr>
      </w:pPr>
      <w:r>
        <w:rPr>
          <w:rFonts w:ascii="楷体" w:hAnsi="楷体" w:eastAsia="楷体" w:cs="楷体"/>
          <w:spacing w:val="-1"/>
          <w:sz w:val="30"/>
          <w:szCs w:val="30"/>
        </w:rPr>
        <w:t>（一）选手报名</w:t>
      </w:r>
    </w:p>
    <w:p w14:paraId="756CC05F">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1.报名选手的资格为</w:t>
      </w:r>
      <w:r>
        <w:rPr>
          <w:rFonts w:hint="eastAsia" w:ascii="仿宋" w:hAnsi="仿宋" w:eastAsia="仿宋" w:cs="仿宋"/>
          <w:spacing w:val="0"/>
          <w:position w:val="0"/>
          <w:sz w:val="28"/>
          <w:szCs w:val="28"/>
        </w:rPr>
        <w:t>唐山市中等职业学校（含技工类学校）在籍学生</w:t>
      </w:r>
      <w:r>
        <w:rPr>
          <w:rFonts w:hint="eastAsia" w:ascii="仿宋" w:hAnsi="仿宋" w:eastAsia="仿宋" w:cs="仿宋"/>
          <w:sz w:val="28"/>
          <w:szCs w:val="28"/>
          <w:lang w:eastAsia="zh-CN"/>
        </w:rPr>
        <w:t>，不限性别。</w:t>
      </w:r>
    </w:p>
    <w:p w14:paraId="1788A5D0">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2.凡参加往届全国职业院校技能大赛并获一等奖的选手，不允许参加同一专业类赛项的比赛。</w:t>
      </w:r>
    </w:p>
    <w:p w14:paraId="7DD74BD5">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pacing w:val="-1"/>
          <w:sz w:val="30"/>
          <w:szCs w:val="30"/>
        </w:rPr>
      </w:pPr>
      <w:r>
        <w:rPr>
          <w:rFonts w:ascii="楷体" w:hAnsi="楷体" w:eastAsia="楷体" w:cs="楷体"/>
          <w:spacing w:val="-1"/>
          <w:sz w:val="30"/>
          <w:szCs w:val="30"/>
        </w:rPr>
        <w:t>（二）熟悉场地</w:t>
      </w:r>
    </w:p>
    <w:p w14:paraId="7189B9D7">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所有参赛选手必须参加抽签仪式,并按照赛项执委会的安排熟悉场地。</w:t>
      </w:r>
    </w:p>
    <w:p w14:paraId="0FAB375E">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pacing w:val="-1"/>
          <w:sz w:val="30"/>
          <w:szCs w:val="30"/>
        </w:rPr>
      </w:pPr>
      <w:r>
        <w:rPr>
          <w:rFonts w:ascii="楷体" w:hAnsi="楷体" w:eastAsia="楷体" w:cs="楷体"/>
          <w:spacing w:val="-1"/>
          <w:sz w:val="30"/>
          <w:szCs w:val="30"/>
        </w:rPr>
        <w:t>（三）入场规则</w:t>
      </w:r>
    </w:p>
    <w:p w14:paraId="1B79C45B">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进入比赛现场的参赛选手不得夹带任何参考资料和通讯工具（如手机、平板电脑等）进入考场，若违反规定，则取消比赛成绩。</w:t>
      </w:r>
    </w:p>
    <w:p w14:paraId="0C9ABCC9">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pacing w:val="-1"/>
          <w:sz w:val="30"/>
          <w:szCs w:val="30"/>
        </w:rPr>
      </w:pPr>
      <w:r>
        <w:rPr>
          <w:rFonts w:ascii="楷体" w:hAnsi="楷体" w:eastAsia="楷体" w:cs="楷体"/>
          <w:spacing w:val="-1"/>
          <w:sz w:val="30"/>
          <w:szCs w:val="30"/>
        </w:rPr>
        <w:t>（四）赛场规则</w:t>
      </w:r>
    </w:p>
    <w:p w14:paraId="179E6CBA">
      <w:pPr>
        <w:keepNext w:val="0"/>
        <w:keepLines w:val="0"/>
        <w:pageBreakBefore w:val="0"/>
        <w:widowControl/>
        <w:kinsoku w:val="0"/>
        <w:wordWrap/>
        <w:overflowPunct/>
        <w:topLinePunct w:val="0"/>
        <w:autoSpaceDE w:val="0"/>
        <w:autoSpaceDN w:val="0"/>
        <w:bidi w:val="0"/>
        <w:adjustRightInd w:val="0"/>
        <w:snapToGrid w:val="0"/>
        <w:spacing w:line="480" w:lineRule="atLeast"/>
        <w:ind w:firstLine="556"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pacing w:val="-1"/>
          <w:sz w:val="28"/>
          <w:szCs w:val="28"/>
          <w:lang w:eastAsia="zh-CN"/>
        </w:rPr>
        <w:t>1.领队会后第一次抽取抽签顺序号，参赛选手按规定时间进入</w:t>
      </w:r>
      <w:r>
        <w:rPr>
          <w:rFonts w:hint="eastAsia" w:ascii="仿宋" w:hAnsi="仿宋" w:eastAsia="仿宋" w:cs="仿宋"/>
          <w:sz w:val="28"/>
          <w:szCs w:val="28"/>
          <w:lang w:eastAsia="zh-CN"/>
        </w:rPr>
        <w:t>比赛场地，在备考区进行第二、三次抽签，确定比赛顺序和工位，进行三次加密，之后根据抽签结果当场选手进入比赛现场，确认现场状况后，根据统一指令开始比赛，在比赛过程中，比赛选手不得大声喧哗。</w:t>
      </w:r>
    </w:p>
    <w:p w14:paraId="7C4D4E11">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2.比赛过程中，参赛选手须严格遵守操作规程，确保人身及设备安全，并接受裁判员的监督和警示，比赛中当有可能出现意外和安全风险时裁判员有权中止比赛；若因选手个人原因造成设备故障，裁判长有权停止或终止比赛；若不是选手个人原因造成设备故障，由裁判长视具体情况做出裁决和处理并记录在案。</w:t>
      </w:r>
    </w:p>
    <w:p w14:paraId="251F50D6">
      <w:pPr>
        <w:keepNext w:val="0"/>
        <w:keepLines w:val="0"/>
        <w:pageBreakBefore w:val="0"/>
        <w:widowControl/>
        <w:kinsoku w:val="0"/>
        <w:wordWrap/>
        <w:overflowPunct/>
        <w:topLinePunct w:val="0"/>
        <w:autoSpaceDE w:val="0"/>
        <w:autoSpaceDN w:val="0"/>
        <w:bidi w:val="0"/>
        <w:adjustRightInd w:val="0"/>
        <w:snapToGrid w:val="0"/>
        <w:spacing w:line="480" w:lineRule="atLeast"/>
        <w:ind w:firstLine="560" w:firstLineChars="200"/>
        <w:jc w:val="both"/>
        <w:textAlignment w:val="baseline"/>
        <w:outlineLvl w:val="9"/>
        <w:rPr>
          <w:rFonts w:hint="eastAsia" w:ascii="仿宋" w:hAnsi="仿宋" w:eastAsia="仿宋" w:cs="仿宋"/>
          <w:sz w:val="28"/>
          <w:szCs w:val="28"/>
          <w:lang w:eastAsia="zh-CN"/>
        </w:rPr>
      </w:pPr>
      <w:r>
        <w:rPr>
          <w:rFonts w:hint="eastAsia" w:ascii="仿宋" w:hAnsi="仿宋" w:eastAsia="仿宋" w:cs="仿宋"/>
          <w:sz w:val="28"/>
          <w:szCs w:val="28"/>
          <w:lang w:eastAsia="zh-CN"/>
        </w:rPr>
        <w:t>3.参赛选手完成实操比赛后需向裁判人员报告，裁判员停表，并记录比赛时间。</w:t>
      </w:r>
    </w:p>
    <w:p w14:paraId="50B771F4">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pacing w:val="-1"/>
          <w:sz w:val="30"/>
          <w:szCs w:val="30"/>
        </w:rPr>
      </w:pPr>
      <w:r>
        <w:rPr>
          <w:rFonts w:ascii="楷体" w:hAnsi="楷体" w:eastAsia="楷体" w:cs="楷体"/>
          <w:spacing w:val="-1"/>
          <w:sz w:val="30"/>
          <w:szCs w:val="30"/>
        </w:rPr>
        <w:t>（五）离场规则</w:t>
      </w:r>
    </w:p>
    <w:p w14:paraId="72A2FDF8">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选手提交比赛作品后，应站在比赛工位外，等待工作人员对比赛工具及设备进行清点验收后方可整队离开赛场。当天比赛结束选手不得离场，需等全天比赛都结束统一离场。</w:t>
      </w:r>
    </w:p>
    <w:p w14:paraId="532768E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pacing w:val="-1"/>
          <w:sz w:val="30"/>
          <w:szCs w:val="30"/>
        </w:rPr>
      </w:pPr>
      <w:r>
        <w:rPr>
          <w:rFonts w:ascii="楷体" w:hAnsi="楷体" w:eastAsia="楷体" w:cs="楷体"/>
          <w:spacing w:val="-1"/>
          <w:sz w:val="30"/>
          <w:szCs w:val="30"/>
        </w:rPr>
        <w:t>（六）成绩评定与结果公布</w:t>
      </w:r>
    </w:p>
    <w:p w14:paraId="08E4E61C">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1.所有选手比赛成绩由裁判组打分后送交统计组，再由监督组按要求复核，如发现问题当即向裁判组核实，当值裁判确认后由裁判长签字，再反馈给统计组。</w:t>
      </w:r>
    </w:p>
    <w:p w14:paraId="63F2B839">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2.比赛成绩由裁判长、监督仲裁组签字后方可发布。</w:t>
      </w:r>
    </w:p>
    <w:p w14:paraId="703F6F0F">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z w:val="31"/>
          <w:szCs w:val="31"/>
        </w:rPr>
      </w:pPr>
      <w:r>
        <w:rPr>
          <w:rFonts w:ascii="黑体" w:hAnsi="黑体" w:eastAsia="黑体" w:cs="黑体"/>
          <w:spacing w:val="8"/>
          <w:sz w:val="31"/>
          <w:szCs w:val="31"/>
        </w:rPr>
        <w:t>七、技术规范</w:t>
      </w:r>
    </w:p>
    <w:p w14:paraId="7C607510">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pacing w:val="-1"/>
          <w:sz w:val="30"/>
          <w:szCs w:val="30"/>
        </w:rPr>
      </w:pPr>
      <w:r>
        <w:rPr>
          <w:rFonts w:ascii="楷体" w:hAnsi="楷体" w:eastAsia="楷体" w:cs="楷体"/>
          <w:spacing w:val="-1"/>
          <w:sz w:val="30"/>
          <w:szCs w:val="30"/>
        </w:rPr>
        <w:t>（一）技术标准与规范</w:t>
      </w:r>
    </w:p>
    <w:p w14:paraId="05D80E23">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1.汽车维修手册。</w:t>
      </w:r>
    </w:p>
    <w:p w14:paraId="12BF968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2.1+X证书《汽车车身修护与车架调校技术》职业技能等级证书初级模块和中级模块。</w:t>
      </w:r>
    </w:p>
    <w:p w14:paraId="55A31235">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hint="eastAsia" w:ascii="仿宋" w:hAnsi="仿宋" w:eastAsia="仿宋" w:cs="仿宋"/>
          <w:spacing w:val="0"/>
          <w:sz w:val="28"/>
          <w:szCs w:val="28"/>
          <w:lang w:val="en-US" w:eastAsia="zh-CN"/>
        </w:rPr>
        <w:t>3</w:t>
      </w:r>
      <w:r>
        <w:rPr>
          <w:rFonts w:ascii="仿宋" w:hAnsi="仿宋" w:eastAsia="仿宋" w:cs="仿宋"/>
          <w:spacing w:val="0"/>
          <w:sz w:val="28"/>
          <w:szCs w:val="28"/>
        </w:rPr>
        <w:t>.1+X证书《汽车美容装饰与加装改装技术》初级模块和中级模块。</w:t>
      </w:r>
    </w:p>
    <w:p w14:paraId="367F074E">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596" w:firstLineChars="200"/>
        <w:jc w:val="both"/>
        <w:textAlignment w:val="baseline"/>
        <w:rPr>
          <w:rFonts w:ascii="楷体" w:hAnsi="楷体" w:eastAsia="楷体" w:cs="楷体"/>
          <w:spacing w:val="-1"/>
          <w:sz w:val="30"/>
          <w:szCs w:val="30"/>
        </w:rPr>
      </w:pPr>
      <w:r>
        <w:rPr>
          <w:rFonts w:ascii="楷体" w:hAnsi="楷体" w:eastAsia="楷体" w:cs="楷体"/>
          <w:spacing w:val="-1"/>
          <w:sz w:val="30"/>
          <w:szCs w:val="30"/>
        </w:rPr>
        <w:t>（二）专业知识和技术技能</w:t>
      </w:r>
    </w:p>
    <w:p w14:paraId="142F6AB4">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要求选手掌握的专业知识包括：车身零部件的拆装工艺流程、车身结构件的切割更换工艺流程、车身覆盖件的整形修复工艺流程、汽车美容护理的工艺流程、汽车装饰贴膜的工艺流程、汽车装潢改装的工艺流程等。</w:t>
      </w:r>
    </w:p>
    <w:p w14:paraId="61310A0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要求选手掌握的技术技能包括：能查询相关技术手册和文件、能遵守安全防护和4S理念、能运用工具设备进行车身零部件拆装、能运用焊接设备对车身件进行焊接修复、能对车身结构件的指定位置进行切割更换、能对车身覆盖件的损伤进行整形修复、能对车身表面进行抛光打蜡并对漆膜浅划痕修复、能进行车身表面隐形车衣的贴护等。</w:t>
      </w:r>
    </w:p>
    <w:p w14:paraId="2276BB15">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八、技术环境</w:t>
      </w:r>
    </w:p>
    <w:p w14:paraId="136FF1D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比赛场地环境应符合比赛要求。比赛场地应设置比赛区、现场裁判休息区等场所。每个或每组参赛选手拥有独立的工位。</w:t>
      </w:r>
    </w:p>
    <w:p w14:paraId="7A86A0FC">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（一）比赛场地布置及工位要求</w:t>
      </w:r>
    </w:p>
    <w:p w14:paraId="794F7D86">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1.模块A</w:t>
      </w:r>
      <w:r>
        <w:rPr>
          <w:rFonts w:hint="eastAsia" w:ascii="仿宋" w:hAnsi="仿宋" w:eastAsia="仿宋" w:cs="仿宋"/>
          <w:spacing w:val="0"/>
          <w:sz w:val="28"/>
          <w:szCs w:val="28"/>
          <w:lang w:eastAsia="zh-CN"/>
        </w:rPr>
        <w:t>车门验形样板手工成型</w:t>
      </w:r>
    </w:p>
    <w:p w14:paraId="016ECF90">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任务1：</w:t>
      </w:r>
      <w:r>
        <w:rPr>
          <w:rFonts w:hint="eastAsia" w:ascii="仿宋" w:hAnsi="仿宋" w:eastAsia="仿宋" w:cs="仿宋"/>
          <w:spacing w:val="0"/>
          <w:sz w:val="28"/>
          <w:szCs w:val="28"/>
          <w:lang w:eastAsia="zh-CN"/>
        </w:rPr>
        <w:t>车门验形样板手工成型</w:t>
      </w:r>
      <w:r>
        <w:rPr>
          <w:rFonts w:ascii="仿宋" w:hAnsi="仿宋" w:eastAsia="仿宋" w:cs="仿宋"/>
          <w:spacing w:val="0"/>
          <w:sz w:val="28"/>
          <w:szCs w:val="28"/>
        </w:rPr>
        <w:t>设</w:t>
      </w:r>
      <w:r>
        <w:rPr>
          <w:rFonts w:hint="eastAsia" w:ascii="仿宋" w:hAnsi="仿宋" w:eastAsia="仿宋" w:cs="仿宋"/>
          <w:spacing w:val="0"/>
          <w:sz w:val="28"/>
          <w:szCs w:val="28"/>
          <w:lang w:val="en-US" w:eastAsia="zh-CN"/>
        </w:rPr>
        <w:t>2</w:t>
      </w:r>
      <w:r>
        <w:rPr>
          <w:rFonts w:ascii="仿宋" w:hAnsi="仿宋" w:eastAsia="仿宋" w:cs="仿宋"/>
          <w:spacing w:val="0"/>
          <w:sz w:val="28"/>
          <w:szCs w:val="28"/>
        </w:rPr>
        <w:t>工位，每个工位面积不小于</w:t>
      </w:r>
      <w:r>
        <w:rPr>
          <w:rFonts w:hint="eastAsia" w:ascii="仿宋" w:hAnsi="仿宋" w:eastAsia="仿宋" w:cs="仿宋"/>
          <w:spacing w:val="0"/>
          <w:sz w:val="28"/>
          <w:szCs w:val="28"/>
          <w:lang w:val="en-US" w:eastAsia="zh-CN"/>
        </w:rPr>
        <w:t>4</w:t>
      </w:r>
      <w:r>
        <w:rPr>
          <w:rFonts w:ascii="仿宋" w:hAnsi="仿宋" w:eastAsia="仿宋" w:cs="仿宋"/>
          <w:spacing w:val="0"/>
          <w:sz w:val="28"/>
          <w:szCs w:val="28"/>
        </w:rPr>
        <w:t>m×</w:t>
      </w:r>
      <w:r>
        <w:rPr>
          <w:rFonts w:hint="eastAsia" w:ascii="仿宋" w:hAnsi="仿宋" w:eastAsia="仿宋" w:cs="仿宋"/>
          <w:spacing w:val="0"/>
          <w:sz w:val="28"/>
          <w:szCs w:val="28"/>
          <w:lang w:val="en-US" w:eastAsia="zh-CN"/>
        </w:rPr>
        <w:t>6</w:t>
      </w:r>
      <w:r>
        <w:rPr>
          <w:rFonts w:ascii="仿宋" w:hAnsi="仿宋" w:eastAsia="仿宋" w:cs="仿宋"/>
          <w:spacing w:val="0"/>
          <w:sz w:val="28"/>
          <w:szCs w:val="28"/>
        </w:rPr>
        <w:t>m。</w:t>
      </w:r>
    </w:p>
    <w:p w14:paraId="74730EA3">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2.模块B</w:t>
      </w:r>
      <w:r>
        <w:rPr>
          <w:rFonts w:hint="eastAsia" w:ascii="仿宋" w:hAnsi="仿宋" w:eastAsia="仿宋" w:cs="仿宋"/>
          <w:spacing w:val="0"/>
          <w:sz w:val="28"/>
          <w:szCs w:val="28"/>
          <w:lang w:eastAsia="zh-CN"/>
        </w:rPr>
        <w:t>车身非结构件整形修复</w:t>
      </w:r>
    </w:p>
    <w:p w14:paraId="72A41BD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任务1：车身非结构件整形修复设</w:t>
      </w:r>
      <w:r>
        <w:rPr>
          <w:rFonts w:hint="eastAsia" w:ascii="仿宋" w:hAnsi="仿宋" w:eastAsia="仿宋" w:cs="仿宋"/>
          <w:spacing w:val="0"/>
          <w:sz w:val="28"/>
          <w:szCs w:val="28"/>
          <w:lang w:val="en-US" w:eastAsia="zh-CN"/>
        </w:rPr>
        <w:t>2</w:t>
      </w:r>
      <w:r>
        <w:rPr>
          <w:rFonts w:ascii="仿宋" w:hAnsi="仿宋" w:eastAsia="仿宋" w:cs="仿宋"/>
          <w:spacing w:val="0"/>
          <w:sz w:val="28"/>
          <w:szCs w:val="28"/>
        </w:rPr>
        <w:t>个工位，每个工位面积不小于2m×</w:t>
      </w:r>
      <w:r>
        <w:rPr>
          <w:rFonts w:hint="eastAsia" w:ascii="仿宋" w:hAnsi="仿宋" w:eastAsia="仿宋" w:cs="仿宋"/>
          <w:spacing w:val="0"/>
          <w:sz w:val="28"/>
          <w:szCs w:val="28"/>
          <w:lang w:val="en-US" w:eastAsia="zh-CN"/>
        </w:rPr>
        <w:t>2</w:t>
      </w:r>
      <w:r>
        <w:rPr>
          <w:rFonts w:ascii="仿宋" w:hAnsi="仿宋" w:eastAsia="仿宋" w:cs="仿宋"/>
          <w:spacing w:val="0"/>
          <w:sz w:val="28"/>
          <w:szCs w:val="28"/>
        </w:rPr>
        <w:t>m。。</w:t>
      </w:r>
    </w:p>
    <w:p w14:paraId="5723B16D">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（二）比赛场地主要设备工具</w:t>
      </w:r>
    </w:p>
    <w:p w14:paraId="717244A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2"/>
          <w:sz w:val="28"/>
          <w:szCs w:val="28"/>
        </w:rPr>
      </w:pPr>
      <w:r>
        <w:rPr>
          <w:rFonts w:ascii="黑体" w:hAnsi="黑体" w:eastAsia="黑体" w:cs="黑体"/>
          <w:spacing w:val="-2"/>
          <w:sz w:val="28"/>
          <w:szCs w:val="28"/>
        </w:rPr>
        <w:t>表</w:t>
      </w:r>
      <w:r>
        <w:rPr>
          <w:rFonts w:hint="eastAsia" w:ascii="Times New Roman" w:hAnsi="Times New Roman" w:eastAsia="宋体" w:cs="Times New Roman"/>
          <w:spacing w:val="-2"/>
          <w:sz w:val="28"/>
          <w:szCs w:val="28"/>
          <w:lang w:val="en-US" w:eastAsia="zh-CN"/>
        </w:rPr>
        <w:t xml:space="preserve">3   </w:t>
      </w:r>
      <w:r>
        <w:rPr>
          <w:rFonts w:ascii="黑体" w:hAnsi="黑体" w:eastAsia="黑体" w:cs="黑体"/>
          <w:spacing w:val="-2"/>
          <w:sz w:val="28"/>
          <w:szCs w:val="28"/>
        </w:rPr>
        <w:t>模块</w:t>
      </w:r>
      <w:r>
        <w:rPr>
          <w:rFonts w:ascii="Times New Roman" w:hAnsi="Times New Roman" w:eastAsia="Times New Roman" w:cs="Times New Roman"/>
          <w:spacing w:val="-2"/>
          <w:sz w:val="28"/>
          <w:szCs w:val="28"/>
        </w:rPr>
        <w:t>A</w:t>
      </w:r>
      <w:r>
        <w:rPr>
          <w:rFonts w:hint="eastAsia" w:ascii="黑体" w:hAnsi="黑体" w:eastAsia="黑体" w:cs="黑体"/>
          <w:spacing w:val="-2"/>
          <w:sz w:val="28"/>
          <w:szCs w:val="28"/>
          <w:lang w:val="en-US" w:eastAsia="zh-CN"/>
        </w:rPr>
        <w:t xml:space="preserve">  </w:t>
      </w:r>
      <w:r>
        <w:rPr>
          <w:rFonts w:hint="eastAsia" w:ascii="黑体" w:hAnsi="黑体" w:eastAsia="黑体" w:cs="黑体"/>
          <w:spacing w:val="-2"/>
          <w:sz w:val="28"/>
          <w:szCs w:val="28"/>
          <w:lang w:eastAsia="zh-CN"/>
        </w:rPr>
        <w:t>车门验形样板手工成型</w:t>
      </w:r>
    </w:p>
    <w:p w14:paraId="2AACA903">
      <w:pPr>
        <w:spacing w:line="24" w:lineRule="exact"/>
      </w:pPr>
    </w:p>
    <w:tbl>
      <w:tblPr>
        <w:tblStyle w:val="9"/>
        <w:tblW w:w="82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97"/>
        <w:gridCol w:w="3683"/>
        <w:gridCol w:w="3546"/>
      </w:tblGrid>
      <w:tr w14:paraId="059DDB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97" w:type="dxa"/>
            <w:tcBorders>
              <w:left w:val="single" w:color="000000" w:sz="2" w:space="0"/>
            </w:tcBorders>
            <w:vAlign w:val="top"/>
          </w:tcPr>
          <w:p w14:paraId="2214B4D6">
            <w:pPr>
              <w:pStyle w:val="10"/>
              <w:spacing w:before="104" w:line="217" w:lineRule="auto"/>
              <w:ind w:left="260"/>
            </w:pPr>
            <w:r>
              <w:rPr>
                <w:spacing w:val="-4"/>
                <w14:textOutline w14:w="4358" w14:cap="sq" w14:cmpd="sng">
                  <w14:solidFill>
                    <w14:srgbClr w14:val="000000"/>
                  </w14:solidFill>
                  <w14:prstDash w14:val="solid"/>
                  <w14:bevel/>
                </w14:textOutline>
              </w:rPr>
              <w:t>序号</w:t>
            </w:r>
          </w:p>
        </w:tc>
        <w:tc>
          <w:tcPr>
            <w:tcW w:w="3683" w:type="dxa"/>
            <w:vAlign w:val="top"/>
          </w:tcPr>
          <w:p w14:paraId="66D00FAC">
            <w:pPr>
              <w:pStyle w:val="10"/>
              <w:spacing w:before="104" w:line="216" w:lineRule="auto"/>
              <w:ind w:left="1476"/>
            </w:pPr>
            <w:r>
              <w:rPr>
                <w:spacing w:val="-3"/>
                <w14:textOutline w14:w="4358" w14:cap="sq" w14:cmpd="sng">
                  <w14:solidFill>
                    <w14:srgbClr w14:val="000000"/>
                  </w14:solidFill>
                  <w14:prstDash w14:val="solid"/>
                  <w14:bevel/>
                </w14:textOutline>
              </w:rPr>
              <w:t>名称</w:t>
            </w:r>
          </w:p>
        </w:tc>
        <w:tc>
          <w:tcPr>
            <w:tcW w:w="3546" w:type="dxa"/>
            <w:tcBorders>
              <w:right w:val="single" w:color="000000" w:sz="2" w:space="0"/>
            </w:tcBorders>
            <w:vAlign w:val="top"/>
          </w:tcPr>
          <w:p w14:paraId="769C25B6">
            <w:pPr>
              <w:pStyle w:val="10"/>
              <w:spacing w:before="104" w:line="217" w:lineRule="auto"/>
              <w:ind w:left="1297"/>
            </w:pPr>
            <w:r>
              <w:rPr>
                <w:spacing w:val="-3"/>
                <w14:textOutline w14:w="4358" w14:cap="sq" w14:cmpd="sng">
                  <w14:solidFill>
                    <w14:srgbClr w14:val="000000"/>
                  </w14:solidFill>
                  <w14:prstDash w14:val="solid"/>
                  <w14:bevel/>
                </w14:textOutline>
              </w:rPr>
              <w:t>技术参数</w:t>
            </w:r>
          </w:p>
        </w:tc>
      </w:tr>
      <w:tr w14:paraId="7A1621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01B5F38C">
            <w:pPr>
              <w:spacing w:before="136" w:line="188" w:lineRule="auto"/>
              <w:ind w:left="461"/>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683" w:type="dxa"/>
            <w:vAlign w:val="top"/>
          </w:tcPr>
          <w:p w14:paraId="667495C7">
            <w:pPr>
              <w:pStyle w:val="10"/>
              <w:spacing w:before="95" w:line="215" w:lineRule="auto"/>
              <w:ind w:left="1488"/>
            </w:pPr>
            <w:r>
              <w:rPr>
                <w:spacing w:val="-6"/>
              </w:rPr>
              <w:t>工作台</w:t>
            </w:r>
          </w:p>
        </w:tc>
        <w:tc>
          <w:tcPr>
            <w:tcW w:w="3546" w:type="dxa"/>
            <w:tcBorders>
              <w:right w:val="single" w:color="000000" w:sz="2" w:space="0"/>
            </w:tcBorders>
            <w:vAlign w:val="top"/>
          </w:tcPr>
          <w:p w14:paraId="715A52B3">
            <w:pPr>
              <w:pStyle w:val="10"/>
              <w:spacing w:before="95" w:line="215" w:lineRule="auto"/>
              <w:ind w:left="1313"/>
            </w:pPr>
            <w:r>
              <w:rPr>
                <w:spacing w:val="-7"/>
              </w:rPr>
              <w:t>带台虎钳</w:t>
            </w:r>
          </w:p>
        </w:tc>
      </w:tr>
      <w:tr w14:paraId="456AD6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6" w:hRule="atLeast"/>
          <w:jc w:val="center"/>
        </w:trPr>
        <w:tc>
          <w:tcPr>
            <w:tcW w:w="997" w:type="dxa"/>
            <w:tcBorders>
              <w:left w:val="single" w:color="000000" w:sz="2" w:space="0"/>
            </w:tcBorders>
            <w:vAlign w:val="top"/>
          </w:tcPr>
          <w:p w14:paraId="7F3DB06B">
            <w:pPr>
              <w:spacing w:line="315" w:lineRule="auto"/>
              <w:rPr>
                <w:rFonts w:ascii="Arial"/>
                <w:sz w:val="21"/>
              </w:rPr>
            </w:pPr>
          </w:p>
          <w:p w14:paraId="602721F4">
            <w:pPr>
              <w:spacing w:before="69" w:line="188" w:lineRule="auto"/>
              <w:ind w:left="438"/>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683" w:type="dxa"/>
            <w:vAlign w:val="top"/>
          </w:tcPr>
          <w:p w14:paraId="5804C0A3">
            <w:pPr>
              <w:spacing w:line="265" w:lineRule="auto"/>
              <w:rPr>
                <w:rFonts w:ascii="Arial"/>
                <w:sz w:val="21"/>
              </w:rPr>
            </w:pPr>
          </w:p>
          <w:p w14:paraId="2245A8B2">
            <w:pPr>
              <w:pStyle w:val="10"/>
              <w:spacing w:before="78" w:line="215" w:lineRule="auto"/>
              <w:ind w:left="1013"/>
            </w:pPr>
            <w:r>
              <w:rPr>
                <w:spacing w:val="-3"/>
              </w:rPr>
              <w:t>手工制作工具组</w:t>
            </w:r>
          </w:p>
        </w:tc>
        <w:tc>
          <w:tcPr>
            <w:tcW w:w="3546" w:type="dxa"/>
            <w:tcBorders>
              <w:right w:val="single" w:color="000000" w:sz="2" w:space="0"/>
            </w:tcBorders>
            <w:vAlign w:val="top"/>
          </w:tcPr>
          <w:p w14:paraId="0E6143B4">
            <w:pPr>
              <w:pStyle w:val="10"/>
              <w:spacing w:before="35" w:line="217" w:lineRule="auto"/>
              <w:jc w:val="right"/>
            </w:pPr>
            <w:r>
              <w:rPr>
                <w:spacing w:val="-5"/>
              </w:rPr>
              <w:t>含铁皮直剪刀、弯剪刀、钳工锤、</w:t>
            </w:r>
          </w:p>
          <w:p w14:paraId="77F185DB">
            <w:pPr>
              <w:pStyle w:val="10"/>
              <w:spacing w:before="27" w:line="216" w:lineRule="auto"/>
              <w:jc w:val="right"/>
            </w:pPr>
            <w:r>
              <w:rPr>
                <w:spacing w:val="-6"/>
              </w:rPr>
              <w:t>錾口锤、钢板尺、木锤、圆头锤、</w:t>
            </w:r>
          </w:p>
          <w:p w14:paraId="3D6990A8">
            <w:pPr>
              <w:pStyle w:val="10"/>
              <w:spacing w:before="30" w:line="207" w:lineRule="auto"/>
              <w:ind w:left="226"/>
            </w:pPr>
            <w:r>
              <w:rPr>
                <w:spacing w:val="-2"/>
              </w:rPr>
              <w:t>直线凿、弯线凿及画图工具等</w:t>
            </w:r>
          </w:p>
        </w:tc>
      </w:tr>
      <w:tr w14:paraId="2316C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jc w:val="center"/>
        </w:trPr>
        <w:tc>
          <w:tcPr>
            <w:tcW w:w="997" w:type="dxa"/>
            <w:tcBorders>
              <w:left w:val="single" w:color="000000" w:sz="2" w:space="0"/>
            </w:tcBorders>
            <w:vAlign w:val="top"/>
          </w:tcPr>
          <w:p w14:paraId="5130E8C0">
            <w:pPr>
              <w:spacing w:before="138" w:line="188" w:lineRule="auto"/>
              <w:ind w:left="443"/>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683" w:type="dxa"/>
            <w:vAlign w:val="top"/>
          </w:tcPr>
          <w:p w14:paraId="14E8FF59">
            <w:pPr>
              <w:pStyle w:val="10"/>
              <w:spacing w:before="97" w:line="217" w:lineRule="auto"/>
              <w:ind w:left="1486"/>
            </w:pPr>
            <w:r>
              <w:rPr>
                <w:spacing w:val="-5"/>
              </w:rPr>
              <w:t>铁砧板</w:t>
            </w:r>
          </w:p>
        </w:tc>
        <w:tc>
          <w:tcPr>
            <w:tcW w:w="3546" w:type="dxa"/>
            <w:tcBorders>
              <w:right w:val="single" w:color="000000" w:sz="2" w:space="0"/>
            </w:tcBorders>
            <w:vAlign w:val="top"/>
          </w:tcPr>
          <w:p w14:paraId="59BBA9B3">
            <w:pPr>
              <w:pStyle w:val="10"/>
              <w:spacing w:before="97" w:line="215" w:lineRule="auto"/>
              <w:ind w:left="212"/>
            </w:pPr>
            <w:r>
              <w:rPr>
                <w:rFonts w:ascii="Times New Roman" w:hAnsi="Times New Roman" w:eastAsia="Times New Roman" w:cs="Times New Roman"/>
                <w:spacing w:val="-2"/>
              </w:rPr>
              <w:t>300mm×300mm×30mm</w:t>
            </w:r>
            <w:r>
              <w:rPr>
                <w:spacing w:val="-2"/>
              </w:rPr>
              <w:t>带胶垫</w:t>
            </w:r>
          </w:p>
        </w:tc>
      </w:tr>
      <w:tr w14:paraId="49E917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0" w:hRule="atLeast"/>
          <w:jc w:val="center"/>
        </w:trPr>
        <w:tc>
          <w:tcPr>
            <w:tcW w:w="997" w:type="dxa"/>
            <w:tcBorders>
              <w:left w:val="single" w:color="000000" w:sz="2" w:space="0"/>
            </w:tcBorders>
            <w:vAlign w:val="top"/>
          </w:tcPr>
          <w:p w14:paraId="08659E7C">
            <w:pPr>
              <w:spacing w:before="141" w:line="188" w:lineRule="auto"/>
              <w:ind w:left="437"/>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683" w:type="dxa"/>
            <w:vAlign w:val="top"/>
          </w:tcPr>
          <w:p w14:paraId="1DFBEA1D">
            <w:pPr>
              <w:pStyle w:val="10"/>
              <w:spacing w:before="100" w:line="219" w:lineRule="auto"/>
              <w:ind w:left="1610"/>
            </w:pPr>
            <w:r>
              <w:rPr>
                <w:spacing w:val="-9"/>
              </w:rPr>
              <w:t>划规</w:t>
            </w:r>
          </w:p>
        </w:tc>
        <w:tc>
          <w:tcPr>
            <w:tcW w:w="3546" w:type="dxa"/>
            <w:tcBorders>
              <w:right w:val="single" w:color="000000" w:sz="2" w:space="0"/>
            </w:tcBorders>
            <w:vAlign w:val="top"/>
          </w:tcPr>
          <w:p w14:paraId="7CEA6F47">
            <w:pPr>
              <w:pStyle w:val="10"/>
              <w:spacing w:before="100" w:line="219" w:lineRule="auto"/>
              <w:ind w:left="1422"/>
            </w:pPr>
            <w:r>
              <w:rPr>
                <w:spacing w:val="-6"/>
              </w:rPr>
              <w:t>通用型</w:t>
            </w:r>
          </w:p>
        </w:tc>
      </w:tr>
      <w:tr w14:paraId="517DF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693DB6F7">
            <w:pPr>
              <w:spacing w:before="146" w:line="185" w:lineRule="auto"/>
              <w:ind w:left="444"/>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683" w:type="dxa"/>
            <w:vAlign w:val="top"/>
          </w:tcPr>
          <w:p w14:paraId="006C2A66">
            <w:pPr>
              <w:pStyle w:val="10"/>
              <w:spacing w:before="102" w:line="217" w:lineRule="auto"/>
              <w:ind w:left="1610"/>
            </w:pPr>
            <w:r>
              <w:rPr>
                <w:spacing w:val="-9"/>
              </w:rPr>
              <w:t>划针</w:t>
            </w:r>
          </w:p>
        </w:tc>
        <w:tc>
          <w:tcPr>
            <w:tcW w:w="3546" w:type="dxa"/>
            <w:tcBorders>
              <w:right w:val="single" w:color="000000" w:sz="2" w:space="0"/>
            </w:tcBorders>
            <w:vAlign w:val="top"/>
          </w:tcPr>
          <w:p w14:paraId="275B6AE0">
            <w:pPr>
              <w:pStyle w:val="10"/>
              <w:spacing w:before="101" w:line="219" w:lineRule="auto"/>
              <w:ind w:left="1422"/>
            </w:pPr>
            <w:r>
              <w:rPr>
                <w:spacing w:val="-6"/>
              </w:rPr>
              <w:t>通用型</w:t>
            </w:r>
          </w:p>
        </w:tc>
      </w:tr>
      <w:tr w14:paraId="54378F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3FF20E76">
            <w:pPr>
              <w:spacing w:before="145" w:line="188" w:lineRule="auto"/>
              <w:ind w:left="443"/>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3683" w:type="dxa"/>
            <w:vAlign w:val="top"/>
          </w:tcPr>
          <w:p w14:paraId="26F7C3F3">
            <w:pPr>
              <w:pStyle w:val="10"/>
              <w:spacing w:before="103" w:line="219" w:lineRule="auto"/>
              <w:ind w:left="1606"/>
              <w:rPr>
                <w:rFonts w:hint="eastAsia" w:eastAsia="仿宋"/>
                <w:lang w:eastAsia="zh-CN"/>
              </w:rPr>
            </w:pPr>
            <w:r>
              <w:rPr>
                <w:rFonts w:hint="eastAsia"/>
                <w:spacing w:val="-7"/>
                <w:lang w:eastAsia="zh-CN"/>
              </w:rPr>
              <w:t>铝条</w:t>
            </w:r>
          </w:p>
        </w:tc>
        <w:tc>
          <w:tcPr>
            <w:tcW w:w="3546" w:type="dxa"/>
            <w:tcBorders>
              <w:right w:val="single" w:color="000000" w:sz="2" w:space="0"/>
            </w:tcBorders>
            <w:vAlign w:val="top"/>
          </w:tcPr>
          <w:p w14:paraId="251F2ACD">
            <w:pPr>
              <w:pStyle w:val="10"/>
              <w:spacing w:before="104" w:line="217" w:lineRule="auto"/>
              <w:ind w:left="809"/>
            </w:pPr>
            <w:r>
              <w:rPr>
                <w:rFonts w:hint="eastAsia" w:ascii="Times New Roman" w:hAnsi="Times New Roman" w:eastAsia="宋体" w:cs="Times New Roman"/>
                <w:spacing w:val="-1"/>
                <w:lang w:val="en-US" w:eastAsia="zh-CN"/>
              </w:rPr>
              <w:t>2</w:t>
            </w:r>
            <w:r>
              <w:rPr>
                <w:rFonts w:ascii="Times New Roman" w:hAnsi="Times New Roman" w:eastAsia="Times New Roman" w:cs="Times New Roman"/>
                <w:spacing w:val="-1"/>
              </w:rPr>
              <w:t>mm</w:t>
            </w:r>
            <w:r>
              <w:rPr>
                <w:spacing w:val="-1"/>
              </w:rPr>
              <w:t>厚</w:t>
            </w:r>
            <w:r>
              <w:rPr>
                <w:rFonts w:hint="eastAsia"/>
                <w:spacing w:val="-1"/>
                <w:lang w:eastAsia="zh-CN"/>
              </w:rPr>
              <w:t>铝</w:t>
            </w:r>
            <w:r>
              <w:rPr>
                <w:spacing w:val="-1"/>
              </w:rPr>
              <w:t>板</w:t>
            </w:r>
          </w:p>
        </w:tc>
      </w:tr>
      <w:tr w14:paraId="339072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265F03B4">
            <w:pPr>
              <w:spacing w:before="148" w:line="185" w:lineRule="auto"/>
              <w:ind w:left="442"/>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3683" w:type="dxa"/>
            <w:vAlign w:val="top"/>
          </w:tcPr>
          <w:p w14:paraId="76B3C7C4">
            <w:pPr>
              <w:pStyle w:val="10"/>
              <w:spacing w:before="104" w:line="218" w:lineRule="auto"/>
              <w:ind w:left="773"/>
            </w:pPr>
            <w:r>
              <w:rPr>
                <w:spacing w:val="-3"/>
              </w:rPr>
              <w:t>手锤垫铁套装工具组</w:t>
            </w:r>
          </w:p>
        </w:tc>
        <w:tc>
          <w:tcPr>
            <w:tcW w:w="3546" w:type="dxa"/>
            <w:tcBorders>
              <w:right w:val="single" w:color="000000" w:sz="2" w:space="0"/>
            </w:tcBorders>
            <w:vAlign w:val="top"/>
          </w:tcPr>
          <w:p w14:paraId="067F3E68">
            <w:pPr>
              <w:pStyle w:val="10"/>
              <w:spacing w:before="104" w:line="217" w:lineRule="auto"/>
              <w:ind w:left="827"/>
            </w:pPr>
            <w:r>
              <w:rPr>
                <w:spacing w:val="-3"/>
              </w:rPr>
              <w:t>满足非结构件修复</w:t>
            </w:r>
          </w:p>
        </w:tc>
      </w:tr>
      <w:tr w14:paraId="2EBB40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746B134A">
            <w:pPr>
              <w:spacing w:before="147" w:line="188" w:lineRule="auto"/>
              <w:ind w:left="448"/>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3683" w:type="dxa"/>
            <w:vAlign w:val="top"/>
          </w:tcPr>
          <w:p w14:paraId="5F5E2216">
            <w:pPr>
              <w:pStyle w:val="10"/>
              <w:spacing w:before="106" w:line="218" w:lineRule="auto"/>
              <w:ind w:left="1253"/>
            </w:pPr>
            <w:r>
              <w:rPr>
                <w:spacing w:val="-4"/>
              </w:rPr>
              <w:t>手工工具组</w:t>
            </w:r>
          </w:p>
        </w:tc>
        <w:tc>
          <w:tcPr>
            <w:tcW w:w="3546" w:type="dxa"/>
            <w:tcBorders>
              <w:right w:val="single" w:color="000000" w:sz="2" w:space="0"/>
            </w:tcBorders>
            <w:vAlign w:val="top"/>
          </w:tcPr>
          <w:p w14:paraId="4A7429E7">
            <w:pPr>
              <w:pStyle w:val="10"/>
              <w:spacing w:before="107" w:line="216" w:lineRule="auto"/>
              <w:ind w:left="584"/>
            </w:pPr>
            <w:r>
              <w:rPr>
                <w:spacing w:val="-2"/>
              </w:rPr>
              <w:t>具备金属加工成型功能</w:t>
            </w:r>
          </w:p>
        </w:tc>
      </w:tr>
      <w:tr w14:paraId="0ADBE2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97" w:type="dxa"/>
            <w:tcBorders>
              <w:left w:val="single" w:color="000000" w:sz="2" w:space="0"/>
            </w:tcBorders>
            <w:vAlign w:val="top"/>
          </w:tcPr>
          <w:p w14:paraId="1CE5DA93">
            <w:pPr>
              <w:spacing w:before="147" w:line="188" w:lineRule="auto"/>
              <w:ind w:left="443"/>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3683" w:type="dxa"/>
            <w:vAlign w:val="top"/>
          </w:tcPr>
          <w:p w14:paraId="0FDDF375">
            <w:pPr>
              <w:pStyle w:val="10"/>
              <w:spacing w:before="107" w:line="221" w:lineRule="auto"/>
              <w:ind w:left="1608"/>
            </w:pPr>
            <w:r>
              <w:rPr>
                <w:spacing w:val="-8"/>
              </w:rPr>
              <w:t>锉刀</w:t>
            </w:r>
          </w:p>
        </w:tc>
        <w:tc>
          <w:tcPr>
            <w:tcW w:w="3546" w:type="dxa"/>
            <w:tcBorders>
              <w:right w:val="single" w:color="000000" w:sz="2" w:space="0"/>
            </w:tcBorders>
            <w:vAlign w:val="top"/>
          </w:tcPr>
          <w:p w14:paraId="6275E9F4">
            <w:pPr>
              <w:pStyle w:val="10"/>
              <w:spacing w:before="106" w:line="219" w:lineRule="auto"/>
              <w:ind w:left="1422"/>
            </w:pPr>
            <w:r>
              <w:rPr>
                <w:spacing w:val="-6"/>
              </w:rPr>
              <w:t>通用型</w:t>
            </w:r>
          </w:p>
        </w:tc>
      </w:tr>
    </w:tbl>
    <w:p w14:paraId="27D327E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1"/>
          <w:sz w:val="28"/>
          <w:szCs w:val="28"/>
        </w:rPr>
      </w:pPr>
    </w:p>
    <w:p w14:paraId="64C3F1E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z w:val="28"/>
          <w:szCs w:val="28"/>
        </w:rPr>
      </w:pPr>
      <w:r>
        <w:rPr>
          <w:rFonts w:ascii="黑体" w:hAnsi="黑体" w:eastAsia="黑体" w:cs="黑体"/>
          <w:spacing w:val="-1"/>
          <w:sz w:val="28"/>
          <w:szCs w:val="28"/>
        </w:rPr>
        <w:t>表</w:t>
      </w:r>
      <w:r>
        <w:rPr>
          <w:rFonts w:ascii="Times New Roman" w:hAnsi="Times New Roman" w:eastAsia="Times New Roman" w:cs="Times New Roman"/>
          <w:spacing w:val="-1"/>
          <w:sz w:val="28"/>
          <w:szCs w:val="28"/>
        </w:rPr>
        <w:t>4</w:t>
      </w:r>
      <w:r>
        <w:rPr>
          <w:rFonts w:hint="eastAsia" w:ascii="Times New Roman" w:hAnsi="Times New Roman" w:eastAsia="宋体" w:cs="Times New Roman"/>
          <w:spacing w:val="-1"/>
          <w:sz w:val="28"/>
          <w:szCs w:val="28"/>
          <w:lang w:val="en-US" w:eastAsia="zh-CN"/>
        </w:rPr>
        <w:t xml:space="preserve">   </w:t>
      </w:r>
      <w:r>
        <w:rPr>
          <w:rFonts w:ascii="黑体" w:hAnsi="黑体" w:eastAsia="黑体" w:cs="黑体"/>
          <w:spacing w:val="-1"/>
          <w:sz w:val="28"/>
          <w:szCs w:val="28"/>
        </w:rPr>
        <w:t>模块</w:t>
      </w:r>
      <w:r>
        <w:rPr>
          <w:rFonts w:hint="eastAsia" w:ascii="黑体" w:hAnsi="黑体" w:eastAsia="黑体" w:cs="黑体"/>
          <w:spacing w:val="-1"/>
          <w:sz w:val="28"/>
          <w:szCs w:val="28"/>
          <w:lang w:val="en-US" w:eastAsia="zh-CN"/>
        </w:rPr>
        <w:t>B</w:t>
      </w:r>
      <w:r>
        <w:rPr>
          <w:rFonts w:hint="eastAsia" w:ascii="Times New Roman" w:hAnsi="Times New Roman" w:eastAsia="宋体" w:cs="Times New Roman"/>
          <w:spacing w:val="-1"/>
          <w:sz w:val="28"/>
          <w:szCs w:val="28"/>
          <w:lang w:val="en-US" w:eastAsia="zh-CN"/>
        </w:rPr>
        <w:t xml:space="preserve">   </w:t>
      </w:r>
      <w:r>
        <w:rPr>
          <w:rFonts w:ascii="黑体" w:hAnsi="黑体" w:eastAsia="黑体" w:cs="黑体"/>
          <w:spacing w:val="-1"/>
          <w:sz w:val="28"/>
          <w:szCs w:val="28"/>
        </w:rPr>
        <w:t>车身非结构件整形修复</w:t>
      </w:r>
    </w:p>
    <w:p w14:paraId="5335F431">
      <w:pPr>
        <w:spacing w:line="26" w:lineRule="exact"/>
      </w:pPr>
    </w:p>
    <w:tbl>
      <w:tblPr>
        <w:tblStyle w:val="9"/>
        <w:tblW w:w="836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997"/>
        <w:gridCol w:w="3683"/>
        <w:gridCol w:w="3688"/>
      </w:tblGrid>
      <w:tr w14:paraId="5CF47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9" w:hRule="atLeast"/>
          <w:jc w:val="center"/>
        </w:trPr>
        <w:tc>
          <w:tcPr>
            <w:tcW w:w="997" w:type="dxa"/>
            <w:tcBorders>
              <w:left w:val="single" w:color="000000" w:sz="2" w:space="0"/>
            </w:tcBorders>
            <w:vAlign w:val="top"/>
          </w:tcPr>
          <w:p w14:paraId="2063FDA8">
            <w:pPr>
              <w:pStyle w:val="10"/>
              <w:spacing w:before="102" w:line="217" w:lineRule="auto"/>
              <w:ind w:left="259"/>
            </w:pPr>
            <w:r>
              <w:rPr>
                <w:spacing w:val="-4"/>
                <w14:textOutline w14:w="4358" w14:cap="sq" w14:cmpd="sng">
                  <w14:solidFill>
                    <w14:srgbClr w14:val="000000"/>
                  </w14:solidFill>
                  <w14:prstDash w14:val="solid"/>
                  <w14:bevel/>
                </w14:textOutline>
              </w:rPr>
              <w:t>序号</w:t>
            </w:r>
          </w:p>
        </w:tc>
        <w:tc>
          <w:tcPr>
            <w:tcW w:w="3683" w:type="dxa"/>
            <w:vAlign w:val="top"/>
          </w:tcPr>
          <w:p w14:paraId="5E98D9D8">
            <w:pPr>
              <w:pStyle w:val="10"/>
              <w:spacing w:before="102" w:line="216" w:lineRule="auto"/>
              <w:ind w:left="1477"/>
            </w:pPr>
            <w:r>
              <w:rPr>
                <w:spacing w:val="-3"/>
                <w14:textOutline w14:w="4358" w14:cap="sq" w14:cmpd="sng">
                  <w14:solidFill>
                    <w14:srgbClr w14:val="000000"/>
                  </w14:solidFill>
                  <w14:prstDash w14:val="solid"/>
                  <w14:bevel/>
                </w14:textOutline>
              </w:rPr>
              <w:t>名称</w:t>
            </w:r>
          </w:p>
        </w:tc>
        <w:tc>
          <w:tcPr>
            <w:tcW w:w="3688" w:type="dxa"/>
            <w:tcBorders>
              <w:right w:val="single" w:color="000000" w:sz="2" w:space="0"/>
            </w:tcBorders>
            <w:vAlign w:val="top"/>
          </w:tcPr>
          <w:p w14:paraId="7FE3C66F">
            <w:pPr>
              <w:pStyle w:val="10"/>
              <w:spacing w:before="102" w:line="217" w:lineRule="auto"/>
              <w:ind w:left="1368"/>
            </w:pPr>
            <w:r>
              <w:rPr>
                <w:spacing w:val="-3"/>
                <w14:textOutline w14:w="4358" w14:cap="sq" w14:cmpd="sng">
                  <w14:solidFill>
                    <w14:srgbClr w14:val="000000"/>
                  </w14:solidFill>
                  <w14:prstDash w14:val="solid"/>
                  <w14:bevel/>
                </w14:textOutline>
              </w:rPr>
              <w:t>技术参数</w:t>
            </w:r>
          </w:p>
        </w:tc>
      </w:tr>
      <w:tr w14:paraId="62240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59058218">
            <w:pPr>
              <w:spacing w:before="135" w:line="188" w:lineRule="auto"/>
              <w:ind w:left="462"/>
              <w:rPr>
                <w:rFonts w:ascii="Times New Roman" w:hAnsi="Times New Roman" w:eastAsia="Times New Roman" w:cs="Times New Roman"/>
                <w:sz w:val="24"/>
                <w:szCs w:val="24"/>
              </w:rPr>
            </w:pPr>
            <w:r>
              <w:rPr>
                <w:rFonts w:ascii="Times New Roman" w:hAnsi="Times New Roman" w:eastAsia="Times New Roman" w:cs="Times New Roman"/>
                <w:sz w:val="24"/>
                <w:szCs w:val="24"/>
              </w:rPr>
              <w:t>1</w:t>
            </w:r>
          </w:p>
        </w:tc>
        <w:tc>
          <w:tcPr>
            <w:tcW w:w="3683" w:type="dxa"/>
            <w:vAlign w:val="top"/>
          </w:tcPr>
          <w:p w14:paraId="473BE478">
            <w:pPr>
              <w:pStyle w:val="10"/>
              <w:spacing w:before="94" w:line="217" w:lineRule="auto"/>
              <w:ind w:left="1485"/>
            </w:pPr>
            <w:r>
              <w:rPr>
                <w:spacing w:val="-5"/>
              </w:rPr>
              <w:t>整形机</w:t>
            </w:r>
          </w:p>
        </w:tc>
        <w:tc>
          <w:tcPr>
            <w:tcW w:w="3688" w:type="dxa"/>
            <w:tcBorders>
              <w:right w:val="single" w:color="000000" w:sz="2" w:space="0"/>
            </w:tcBorders>
            <w:vAlign w:val="top"/>
          </w:tcPr>
          <w:p w14:paraId="2ACE3C3E">
            <w:pPr>
              <w:pStyle w:val="10"/>
              <w:spacing w:before="95" w:line="216" w:lineRule="auto"/>
              <w:ind w:left="534"/>
            </w:pPr>
            <w:r>
              <w:rPr>
                <w:spacing w:val="-2"/>
              </w:rPr>
              <w:t>具备拉拔、收火等多功能</w:t>
            </w:r>
          </w:p>
        </w:tc>
      </w:tr>
      <w:tr w14:paraId="672278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67BCE465">
            <w:pPr>
              <w:spacing w:before="135" w:line="188" w:lineRule="auto"/>
              <w:ind w:left="439"/>
              <w:rPr>
                <w:rFonts w:ascii="Times New Roman" w:hAnsi="Times New Roman" w:eastAsia="Times New Roman" w:cs="Times New Roman"/>
                <w:sz w:val="24"/>
                <w:szCs w:val="24"/>
              </w:rPr>
            </w:pPr>
            <w:r>
              <w:rPr>
                <w:rFonts w:ascii="Times New Roman" w:hAnsi="Times New Roman" w:eastAsia="Times New Roman" w:cs="Times New Roman"/>
                <w:sz w:val="24"/>
                <w:szCs w:val="24"/>
              </w:rPr>
              <w:t>2</w:t>
            </w:r>
          </w:p>
        </w:tc>
        <w:tc>
          <w:tcPr>
            <w:tcW w:w="3683" w:type="dxa"/>
            <w:vAlign w:val="top"/>
          </w:tcPr>
          <w:p w14:paraId="567419C1">
            <w:pPr>
              <w:pStyle w:val="10"/>
              <w:spacing w:before="94" w:line="214" w:lineRule="auto"/>
              <w:ind w:left="1492"/>
            </w:pPr>
            <w:r>
              <w:rPr>
                <w:spacing w:val="-7"/>
              </w:rPr>
              <w:t>车门框</w:t>
            </w:r>
          </w:p>
        </w:tc>
        <w:tc>
          <w:tcPr>
            <w:tcW w:w="3688" w:type="dxa"/>
            <w:tcBorders>
              <w:right w:val="single" w:color="000000" w:sz="2" w:space="0"/>
            </w:tcBorders>
            <w:vAlign w:val="top"/>
          </w:tcPr>
          <w:p w14:paraId="53FFEA41">
            <w:pPr>
              <w:pStyle w:val="10"/>
              <w:spacing w:before="94" w:line="214" w:lineRule="auto"/>
              <w:ind w:left="1017"/>
            </w:pPr>
            <w:r>
              <w:rPr>
                <w:spacing w:val="-3"/>
              </w:rPr>
              <w:t>配合车门板使用</w:t>
            </w:r>
          </w:p>
        </w:tc>
      </w:tr>
      <w:tr w14:paraId="19335C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3ECC9ED8">
            <w:pPr>
              <w:spacing w:before="137" w:line="188" w:lineRule="auto"/>
              <w:ind w:left="444"/>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c>
          <w:tcPr>
            <w:tcW w:w="3683" w:type="dxa"/>
            <w:vAlign w:val="top"/>
          </w:tcPr>
          <w:p w14:paraId="338C2193">
            <w:pPr>
              <w:pStyle w:val="10"/>
              <w:spacing w:before="97" w:line="214" w:lineRule="auto"/>
              <w:ind w:left="1492"/>
            </w:pPr>
            <w:r>
              <w:rPr>
                <w:spacing w:val="-7"/>
              </w:rPr>
              <w:t>车门板</w:t>
            </w:r>
          </w:p>
        </w:tc>
        <w:tc>
          <w:tcPr>
            <w:tcW w:w="3688" w:type="dxa"/>
            <w:tcBorders>
              <w:right w:val="single" w:color="000000" w:sz="2" w:space="0"/>
            </w:tcBorders>
            <w:vAlign w:val="top"/>
          </w:tcPr>
          <w:p w14:paraId="3ABCD4C3">
            <w:pPr>
              <w:pStyle w:val="10"/>
              <w:spacing w:before="96" w:line="216" w:lineRule="auto"/>
              <w:ind w:left="1137"/>
            </w:pPr>
            <w:r>
              <w:rPr>
                <w:spacing w:val="-4"/>
              </w:rPr>
              <w:t>配合门框使用</w:t>
            </w:r>
          </w:p>
        </w:tc>
      </w:tr>
      <w:tr w14:paraId="371DA3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7BB4CDE2">
            <w:pPr>
              <w:spacing w:before="137" w:line="188" w:lineRule="auto"/>
              <w:ind w:left="438"/>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c>
          <w:tcPr>
            <w:tcW w:w="3683" w:type="dxa"/>
            <w:vAlign w:val="top"/>
          </w:tcPr>
          <w:p w14:paraId="5B4C2857">
            <w:pPr>
              <w:pStyle w:val="10"/>
              <w:spacing w:before="96" w:line="218" w:lineRule="auto"/>
              <w:ind w:left="1489"/>
            </w:pPr>
            <w:r>
              <w:rPr>
                <w:spacing w:val="-6"/>
              </w:rPr>
              <w:t>测量尺</w:t>
            </w:r>
          </w:p>
        </w:tc>
        <w:tc>
          <w:tcPr>
            <w:tcW w:w="3688" w:type="dxa"/>
            <w:tcBorders>
              <w:right w:val="single" w:color="000000" w:sz="2" w:space="0"/>
            </w:tcBorders>
            <w:vAlign w:val="top"/>
          </w:tcPr>
          <w:p w14:paraId="331DFE4E">
            <w:pPr>
              <w:pStyle w:val="10"/>
              <w:spacing w:before="97" w:line="214" w:lineRule="auto"/>
              <w:ind w:left="1017"/>
            </w:pPr>
            <w:r>
              <w:rPr>
                <w:spacing w:val="-3"/>
              </w:rPr>
              <w:t>配合车门板使用</w:t>
            </w:r>
          </w:p>
        </w:tc>
      </w:tr>
      <w:tr w14:paraId="74A122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5" w:hRule="atLeast"/>
          <w:jc w:val="center"/>
        </w:trPr>
        <w:tc>
          <w:tcPr>
            <w:tcW w:w="997" w:type="dxa"/>
            <w:tcBorders>
              <w:left w:val="single" w:color="000000" w:sz="2" w:space="0"/>
            </w:tcBorders>
            <w:vAlign w:val="top"/>
          </w:tcPr>
          <w:p w14:paraId="646AEC82">
            <w:pPr>
              <w:spacing w:before="234" w:line="185" w:lineRule="auto"/>
              <w:ind w:left="445"/>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c>
          <w:tcPr>
            <w:tcW w:w="3683" w:type="dxa"/>
            <w:vAlign w:val="top"/>
          </w:tcPr>
          <w:p w14:paraId="2A001C20">
            <w:pPr>
              <w:pStyle w:val="10"/>
              <w:spacing w:before="190" w:line="219" w:lineRule="auto"/>
              <w:ind w:left="1252"/>
            </w:pPr>
            <w:r>
              <w:rPr>
                <w:spacing w:val="-4"/>
              </w:rPr>
              <w:t>气动工具组</w:t>
            </w:r>
          </w:p>
        </w:tc>
        <w:tc>
          <w:tcPr>
            <w:tcW w:w="3688" w:type="dxa"/>
            <w:tcBorders>
              <w:right w:val="single" w:color="000000" w:sz="2" w:space="0"/>
            </w:tcBorders>
            <w:vAlign w:val="top"/>
          </w:tcPr>
          <w:p w14:paraId="1A4D87BB">
            <w:pPr>
              <w:pStyle w:val="10"/>
              <w:spacing w:before="37" w:line="222" w:lineRule="auto"/>
              <w:ind w:left="673" w:right="39" w:hanging="630"/>
            </w:pPr>
            <w:r>
              <w:rPr>
                <w:spacing w:val="-1"/>
              </w:rPr>
              <w:t>含气动盘式打磨机、气动环带打磨</w:t>
            </w:r>
            <w:r>
              <w:rPr>
                <w:spacing w:val="-4"/>
              </w:rPr>
              <w:t>机、</w:t>
            </w:r>
            <w:r>
              <w:rPr>
                <w:rFonts w:hint="eastAsia"/>
                <w:spacing w:val="-4"/>
                <w:lang w:val="en-US" w:eastAsia="zh-CN"/>
              </w:rPr>
              <w:t>2</w:t>
            </w:r>
            <w:r>
              <w:rPr>
                <w:spacing w:val="-4"/>
              </w:rPr>
              <w:t>寸气动研磨机等</w:t>
            </w:r>
          </w:p>
        </w:tc>
      </w:tr>
      <w:tr w14:paraId="0AC882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05F9C68E">
            <w:pPr>
              <w:spacing w:before="143" w:line="188" w:lineRule="auto"/>
              <w:ind w:left="444"/>
              <w:rPr>
                <w:rFonts w:ascii="Times New Roman" w:hAnsi="Times New Roman" w:eastAsia="Times New Roman" w:cs="Times New Roman"/>
                <w:sz w:val="24"/>
                <w:szCs w:val="24"/>
              </w:rPr>
            </w:pPr>
            <w:r>
              <w:rPr>
                <w:rFonts w:ascii="Times New Roman" w:hAnsi="Times New Roman" w:eastAsia="Times New Roman" w:cs="Times New Roman"/>
                <w:sz w:val="24"/>
                <w:szCs w:val="24"/>
              </w:rPr>
              <w:t>6</w:t>
            </w:r>
          </w:p>
        </w:tc>
        <w:tc>
          <w:tcPr>
            <w:tcW w:w="3683" w:type="dxa"/>
            <w:vAlign w:val="top"/>
          </w:tcPr>
          <w:p w14:paraId="11DBD857">
            <w:pPr>
              <w:pStyle w:val="10"/>
              <w:spacing w:before="102" w:line="217" w:lineRule="auto"/>
              <w:ind w:left="759"/>
            </w:pPr>
            <w:r>
              <w:rPr>
                <w:spacing w:val="-1"/>
              </w:rPr>
              <w:t>钣金快修组合工具组</w:t>
            </w:r>
          </w:p>
        </w:tc>
        <w:tc>
          <w:tcPr>
            <w:tcW w:w="3688" w:type="dxa"/>
            <w:tcBorders>
              <w:right w:val="single" w:color="000000" w:sz="2" w:space="0"/>
            </w:tcBorders>
            <w:vAlign w:val="top"/>
          </w:tcPr>
          <w:p w14:paraId="47D424EC">
            <w:pPr>
              <w:pStyle w:val="10"/>
              <w:spacing w:before="103" w:line="216" w:lineRule="auto"/>
              <w:ind w:left="774"/>
            </w:pPr>
            <w:r>
              <w:rPr>
                <w:spacing w:val="-2"/>
              </w:rPr>
              <w:t>具备便捷、快速功能</w:t>
            </w:r>
          </w:p>
        </w:tc>
      </w:tr>
      <w:tr w14:paraId="22593A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647E3E78">
            <w:pPr>
              <w:spacing w:before="146" w:line="185" w:lineRule="auto"/>
              <w:ind w:left="443"/>
              <w:rPr>
                <w:rFonts w:ascii="Times New Roman" w:hAnsi="Times New Roman" w:eastAsia="Times New Roman" w:cs="Times New Roman"/>
                <w:sz w:val="24"/>
                <w:szCs w:val="24"/>
              </w:rPr>
            </w:pPr>
            <w:r>
              <w:rPr>
                <w:rFonts w:ascii="Times New Roman" w:hAnsi="Times New Roman" w:eastAsia="Times New Roman" w:cs="Times New Roman"/>
                <w:sz w:val="24"/>
                <w:szCs w:val="24"/>
              </w:rPr>
              <w:t>7</w:t>
            </w:r>
          </w:p>
        </w:tc>
        <w:tc>
          <w:tcPr>
            <w:tcW w:w="3683" w:type="dxa"/>
            <w:vAlign w:val="top"/>
          </w:tcPr>
          <w:p w14:paraId="67E54148">
            <w:pPr>
              <w:pStyle w:val="10"/>
              <w:spacing w:before="102" w:line="218" w:lineRule="auto"/>
              <w:ind w:left="772"/>
            </w:pPr>
            <w:r>
              <w:rPr>
                <w:spacing w:val="-3"/>
              </w:rPr>
              <w:t>手锤垫铁套装工具组</w:t>
            </w:r>
          </w:p>
        </w:tc>
        <w:tc>
          <w:tcPr>
            <w:tcW w:w="3688" w:type="dxa"/>
            <w:tcBorders>
              <w:right w:val="single" w:color="000000" w:sz="2" w:space="0"/>
            </w:tcBorders>
            <w:vAlign w:val="top"/>
          </w:tcPr>
          <w:p w14:paraId="2D188E73">
            <w:pPr>
              <w:pStyle w:val="10"/>
              <w:spacing w:before="102" w:line="217" w:lineRule="auto"/>
              <w:ind w:left="897"/>
            </w:pPr>
            <w:r>
              <w:rPr>
                <w:spacing w:val="-3"/>
              </w:rPr>
              <w:t>满足非结构件修复</w:t>
            </w:r>
          </w:p>
        </w:tc>
      </w:tr>
      <w:tr w14:paraId="4837E7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60E520CB">
            <w:pPr>
              <w:spacing w:before="143" w:line="188" w:lineRule="auto"/>
              <w:ind w:left="449"/>
              <w:rPr>
                <w:rFonts w:ascii="Times New Roman" w:hAnsi="Times New Roman" w:eastAsia="Times New Roman" w:cs="Times New Roman"/>
                <w:sz w:val="24"/>
                <w:szCs w:val="24"/>
              </w:rPr>
            </w:pPr>
            <w:r>
              <w:rPr>
                <w:rFonts w:ascii="Times New Roman" w:hAnsi="Times New Roman" w:eastAsia="Times New Roman" w:cs="Times New Roman"/>
                <w:sz w:val="24"/>
                <w:szCs w:val="24"/>
              </w:rPr>
              <w:t>8</w:t>
            </w:r>
          </w:p>
        </w:tc>
        <w:tc>
          <w:tcPr>
            <w:tcW w:w="3683" w:type="dxa"/>
            <w:vAlign w:val="top"/>
          </w:tcPr>
          <w:p w14:paraId="20CD8963">
            <w:pPr>
              <w:pStyle w:val="10"/>
              <w:spacing w:before="102" w:line="218" w:lineRule="auto"/>
              <w:ind w:left="1252"/>
            </w:pPr>
            <w:r>
              <w:rPr>
                <w:spacing w:val="-4"/>
              </w:rPr>
              <w:t>手工工具组</w:t>
            </w:r>
          </w:p>
        </w:tc>
        <w:tc>
          <w:tcPr>
            <w:tcW w:w="3688" w:type="dxa"/>
            <w:tcBorders>
              <w:right w:val="single" w:color="000000" w:sz="2" w:space="0"/>
            </w:tcBorders>
            <w:vAlign w:val="top"/>
          </w:tcPr>
          <w:p w14:paraId="6DDD21A3">
            <w:pPr>
              <w:pStyle w:val="10"/>
              <w:spacing w:before="103" w:line="216" w:lineRule="auto"/>
              <w:ind w:left="654"/>
            </w:pPr>
            <w:r>
              <w:rPr>
                <w:spacing w:val="-2"/>
              </w:rPr>
              <w:t>具备金属加工成型功能</w:t>
            </w:r>
          </w:p>
        </w:tc>
      </w:tr>
      <w:tr w14:paraId="369085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76F070C7">
            <w:pPr>
              <w:spacing w:before="145" w:line="188" w:lineRule="auto"/>
              <w:ind w:left="444"/>
              <w:rPr>
                <w:rFonts w:ascii="Times New Roman" w:hAnsi="Times New Roman" w:eastAsia="Times New Roman" w:cs="Times New Roman"/>
                <w:sz w:val="24"/>
                <w:szCs w:val="24"/>
              </w:rPr>
            </w:pPr>
            <w:r>
              <w:rPr>
                <w:rFonts w:ascii="Times New Roman" w:hAnsi="Times New Roman" w:eastAsia="Times New Roman" w:cs="Times New Roman"/>
                <w:sz w:val="24"/>
                <w:szCs w:val="24"/>
              </w:rPr>
              <w:t>9</w:t>
            </w:r>
          </w:p>
        </w:tc>
        <w:tc>
          <w:tcPr>
            <w:tcW w:w="3683" w:type="dxa"/>
            <w:vAlign w:val="top"/>
          </w:tcPr>
          <w:p w14:paraId="0B4A6372">
            <w:pPr>
              <w:pStyle w:val="10"/>
              <w:spacing w:before="104" w:line="215" w:lineRule="auto"/>
              <w:ind w:left="1487"/>
            </w:pPr>
            <w:r>
              <w:rPr>
                <w:spacing w:val="-6"/>
              </w:rPr>
              <w:t>工作台</w:t>
            </w:r>
          </w:p>
        </w:tc>
        <w:tc>
          <w:tcPr>
            <w:tcW w:w="3688" w:type="dxa"/>
            <w:tcBorders>
              <w:right w:val="single" w:color="000000" w:sz="2" w:space="0"/>
            </w:tcBorders>
            <w:vAlign w:val="top"/>
          </w:tcPr>
          <w:p w14:paraId="1D2D6961">
            <w:pPr>
              <w:pStyle w:val="10"/>
              <w:spacing w:before="104" w:line="219" w:lineRule="auto"/>
              <w:ind w:left="1493"/>
            </w:pPr>
            <w:r>
              <w:rPr>
                <w:spacing w:val="-6"/>
              </w:rPr>
              <w:t>通用型</w:t>
            </w:r>
          </w:p>
        </w:tc>
      </w:tr>
      <w:tr w14:paraId="7CF5B9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2B424CEA">
            <w:pPr>
              <w:spacing w:before="145" w:line="188" w:lineRule="auto"/>
              <w:ind w:left="402"/>
              <w:rPr>
                <w:rFonts w:ascii="Times New Roman" w:hAnsi="Times New Roman" w:eastAsia="Times New Roman" w:cs="Times New Roman"/>
                <w:sz w:val="24"/>
                <w:szCs w:val="24"/>
              </w:rPr>
            </w:pPr>
            <w:r>
              <w:rPr>
                <w:rFonts w:ascii="Times New Roman" w:hAnsi="Times New Roman" w:eastAsia="Times New Roman" w:cs="Times New Roman"/>
                <w:spacing w:val="-15"/>
                <w:sz w:val="24"/>
                <w:szCs w:val="24"/>
              </w:rPr>
              <w:t>10</w:t>
            </w:r>
          </w:p>
        </w:tc>
        <w:tc>
          <w:tcPr>
            <w:tcW w:w="3683" w:type="dxa"/>
            <w:vAlign w:val="top"/>
          </w:tcPr>
          <w:p w14:paraId="6A075945">
            <w:pPr>
              <w:pStyle w:val="10"/>
              <w:spacing w:before="105" w:line="214" w:lineRule="auto"/>
              <w:ind w:left="1492"/>
            </w:pPr>
            <w:r>
              <w:rPr>
                <w:spacing w:val="-7"/>
              </w:rPr>
              <w:t>车身锉</w:t>
            </w:r>
          </w:p>
        </w:tc>
        <w:tc>
          <w:tcPr>
            <w:tcW w:w="3688" w:type="dxa"/>
            <w:tcBorders>
              <w:right w:val="single" w:color="000000" w:sz="2" w:space="0"/>
            </w:tcBorders>
            <w:vAlign w:val="top"/>
          </w:tcPr>
          <w:p w14:paraId="1D7290EC">
            <w:pPr>
              <w:pStyle w:val="10"/>
              <w:spacing w:before="104" w:line="219" w:lineRule="auto"/>
              <w:ind w:left="1493"/>
            </w:pPr>
            <w:r>
              <w:rPr>
                <w:spacing w:val="-6"/>
              </w:rPr>
              <w:t>通用型</w:t>
            </w:r>
          </w:p>
        </w:tc>
      </w:tr>
      <w:tr w14:paraId="39321D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1" w:hRule="atLeast"/>
          <w:jc w:val="center"/>
        </w:trPr>
        <w:tc>
          <w:tcPr>
            <w:tcW w:w="997" w:type="dxa"/>
            <w:tcBorders>
              <w:left w:val="single" w:color="000000" w:sz="2" w:space="0"/>
            </w:tcBorders>
            <w:vAlign w:val="top"/>
          </w:tcPr>
          <w:p w14:paraId="0D60A1A0">
            <w:pPr>
              <w:spacing w:before="148" w:line="188" w:lineRule="auto"/>
              <w:ind w:left="404"/>
              <w:rPr>
                <w:rFonts w:ascii="Times New Roman" w:hAnsi="Times New Roman" w:eastAsia="Times New Roman" w:cs="Times New Roman"/>
                <w:sz w:val="24"/>
                <w:szCs w:val="24"/>
              </w:rPr>
            </w:pPr>
            <w:r>
              <w:rPr>
                <w:rFonts w:ascii="Times New Roman" w:hAnsi="Times New Roman" w:eastAsia="Times New Roman" w:cs="Times New Roman"/>
                <w:spacing w:val="-15"/>
                <w:sz w:val="24"/>
                <w:szCs w:val="24"/>
              </w:rPr>
              <w:t>11</w:t>
            </w:r>
          </w:p>
        </w:tc>
        <w:tc>
          <w:tcPr>
            <w:tcW w:w="3683" w:type="dxa"/>
            <w:vAlign w:val="top"/>
          </w:tcPr>
          <w:p w14:paraId="359E0BD6">
            <w:pPr>
              <w:pStyle w:val="10"/>
              <w:spacing w:before="107" w:line="217" w:lineRule="auto"/>
              <w:ind w:left="1123"/>
            </w:pPr>
            <w:r>
              <w:rPr>
                <w:spacing w:val="-2"/>
              </w:rPr>
              <w:t>个人防护用品</w:t>
            </w:r>
          </w:p>
        </w:tc>
        <w:tc>
          <w:tcPr>
            <w:tcW w:w="3688" w:type="dxa"/>
            <w:tcBorders>
              <w:right w:val="single" w:color="000000" w:sz="2" w:space="0"/>
            </w:tcBorders>
            <w:vAlign w:val="top"/>
          </w:tcPr>
          <w:p w14:paraId="75AEAFED">
            <w:pPr>
              <w:pStyle w:val="10"/>
              <w:spacing w:before="107" w:line="217" w:lineRule="auto"/>
              <w:ind w:left="763"/>
            </w:pPr>
            <w:r>
              <w:rPr>
                <w:spacing w:val="-1"/>
              </w:rPr>
              <w:t>含线手套、护目镜等</w:t>
            </w:r>
          </w:p>
        </w:tc>
      </w:tr>
      <w:tr w14:paraId="2A8A6C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0" w:hRule="atLeast"/>
          <w:jc w:val="center"/>
        </w:trPr>
        <w:tc>
          <w:tcPr>
            <w:tcW w:w="997" w:type="dxa"/>
            <w:tcBorders>
              <w:left w:val="single" w:color="000000" w:sz="2" w:space="0"/>
            </w:tcBorders>
            <w:vAlign w:val="top"/>
          </w:tcPr>
          <w:p w14:paraId="606EE930">
            <w:pPr>
              <w:spacing w:before="148" w:line="188" w:lineRule="auto"/>
              <w:ind w:left="402"/>
              <w:rPr>
                <w:rFonts w:ascii="Times New Roman" w:hAnsi="Times New Roman" w:eastAsia="Times New Roman" w:cs="Times New Roman"/>
                <w:sz w:val="24"/>
                <w:szCs w:val="24"/>
              </w:rPr>
            </w:pPr>
            <w:r>
              <w:rPr>
                <w:rFonts w:ascii="Times New Roman" w:hAnsi="Times New Roman" w:eastAsia="Times New Roman" w:cs="Times New Roman"/>
                <w:spacing w:val="-15"/>
                <w:sz w:val="24"/>
                <w:szCs w:val="24"/>
              </w:rPr>
              <w:t>12</w:t>
            </w:r>
          </w:p>
        </w:tc>
        <w:tc>
          <w:tcPr>
            <w:tcW w:w="3683" w:type="dxa"/>
            <w:vAlign w:val="top"/>
          </w:tcPr>
          <w:p w14:paraId="5EBAB302">
            <w:pPr>
              <w:pStyle w:val="10"/>
              <w:spacing w:before="107" w:line="217" w:lineRule="auto"/>
              <w:jc w:val="right"/>
            </w:pPr>
            <w:r>
              <w:rPr>
                <w:spacing w:val="-13"/>
              </w:rPr>
              <w:t>画线工具组（含钢板尺、记号笔等）</w:t>
            </w:r>
          </w:p>
        </w:tc>
        <w:tc>
          <w:tcPr>
            <w:tcW w:w="3688" w:type="dxa"/>
            <w:tcBorders>
              <w:right w:val="single" w:color="000000" w:sz="2" w:space="0"/>
            </w:tcBorders>
            <w:vAlign w:val="top"/>
          </w:tcPr>
          <w:p w14:paraId="779575A1">
            <w:pPr>
              <w:pStyle w:val="10"/>
              <w:spacing w:before="106" w:line="219" w:lineRule="auto"/>
              <w:ind w:left="1493"/>
            </w:pPr>
            <w:r>
              <w:rPr>
                <w:spacing w:val="-6"/>
              </w:rPr>
              <w:t>通用型</w:t>
            </w:r>
          </w:p>
        </w:tc>
      </w:tr>
    </w:tbl>
    <w:p w14:paraId="569B3D27">
      <w:pPr>
        <w:pStyle w:val="2"/>
      </w:pPr>
    </w:p>
    <w:p w14:paraId="474E0CD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4"/>
          <w:sz w:val="28"/>
          <w:szCs w:val="28"/>
        </w:rPr>
      </w:pPr>
    </w:p>
    <w:p w14:paraId="37070E56">
      <w:pPr>
        <w:pStyle w:val="2"/>
      </w:pPr>
    </w:p>
    <w:p w14:paraId="0BBBB7F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3"/>
          <w:sz w:val="28"/>
          <w:szCs w:val="28"/>
          <w14:textOutline w14:w="5103" w14:cap="sq" w14:cmpd="sng">
            <w14:solidFill>
              <w14:srgbClr w14:val="000000"/>
            </w14:solidFill>
            <w14:prstDash w14:val="solid"/>
            <w14:bevel/>
          </w14:textOutline>
        </w:rPr>
      </w:pPr>
    </w:p>
    <w:p w14:paraId="1F75DDF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z w:val="28"/>
          <w:szCs w:val="28"/>
        </w:rPr>
      </w:pPr>
      <w:r>
        <w:rPr>
          <w:rFonts w:ascii="黑体" w:hAnsi="黑体" w:eastAsia="黑体" w:cs="黑体"/>
          <w:spacing w:val="-5"/>
          <w:sz w:val="28"/>
          <w:szCs w:val="28"/>
          <w14:textOutline w14:w="5103" w14:cap="sq" w14:cmpd="sng">
            <w14:solidFill>
              <w14:srgbClr w14:val="000000"/>
            </w14:solidFill>
            <w14:prstDash w14:val="solid"/>
            <w14:bevel/>
          </w14:textOutline>
        </w:rPr>
        <w:t>表</w:t>
      </w:r>
      <w:r>
        <w:rPr>
          <w:rFonts w:hint="eastAsia" w:ascii="黑体" w:hAnsi="黑体" w:eastAsia="黑体" w:cs="黑体"/>
          <w:spacing w:val="-5"/>
          <w:sz w:val="28"/>
          <w:szCs w:val="28"/>
          <w:lang w:val="en-US" w:eastAsia="zh-CN"/>
          <w14:textOutline w14:w="5103" w14:cap="sq" w14:cmpd="sng">
            <w14:solidFill>
              <w14:srgbClr w14:val="000000"/>
            </w14:solidFill>
            <w14:prstDash w14:val="solid"/>
            <w14:bevel/>
          </w14:textOutline>
        </w:rPr>
        <w:t>5</w:t>
      </w:r>
      <w:r>
        <w:rPr>
          <w:rFonts w:hint="eastAsia" w:ascii="Times New Roman" w:hAnsi="Times New Roman" w:eastAsia="宋体" w:cs="Times New Roman"/>
          <w:b/>
          <w:bCs/>
          <w:spacing w:val="-5"/>
          <w:sz w:val="28"/>
          <w:szCs w:val="28"/>
          <w:lang w:val="en-US" w:eastAsia="zh-CN"/>
        </w:rPr>
        <w:t xml:space="preserve">   </w:t>
      </w:r>
      <w:r>
        <w:rPr>
          <w:rFonts w:ascii="黑体" w:hAnsi="黑体" w:eastAsia="黑体" w:cs="黑体"/>
          <w:spacing w:val="-5"/>
          <w:sz w:val="28"/>
          <w:szCs w:val="28"/>
          <w14:textOutline w14:w="5103" w14:cap="sq" w14:cmpd="sng">
            <w14:solidFill>
              <w14:srgbClr w14:val="000000"/>
            </w14:solidFill>
            <w14:prstDash w14:val="solid"/>
            <w14:bevel/>
          </w14:textOutline>
        </w:rPr>
        <w:t>场地设施</w:t>
      </w:r>
    </w:p>
    <w:p w14:paraId="1BFAF77D">
      <w:pPr>
        <w:spacing w:line="23" w:lineRule="exact"/>
      </w:pPr>
    </w:p>
    <w:tbl>
      <w:tblPr>
        <w:tblStyle w:val="9"/>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8"/>
        <w:gridCol w:w="1679"/>
        <w:gridCol w:w="5689"/>
      </w:tblGrid>
      <w:tr w14:paraId="65E243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jc w:val="center"/>
        </w:trPr>
        <w:tc>
          <w:tcPr>
            <w:tcW w:w="858" w:type="dxa"/>
            <w:vAlign w:val="top"/>
          </w:tcPr>
          <w:p w14:paraId="2E024C89">
            <w:pPr>
              <w:pStyle w:val="10"/>
              <w:spacing w:before="42" w:line="206" w:lineRule="auto"/>
              <w:ind w:left="193"/>
              <w:rPr>
                <w:rFonts w:hint="eastAsia" w:ascii="仿宋" w:hAnsi="仿宋" w:eastAsia="仿宋" w:cs="仿宋"/>
                <w:sz w:val="24"/>
                <w:szCs w:val="24"/>
              </w:rPr>
            </w:pPr>
            <w:r>
              <w:rPr>
                <w:rFonts w:hint="eastAsia" w:ascii="仿宋" w:hAnsi="仿宋" w:eastAsia="仿宋" w:cs="仿宋"/>
                <w:spacing w:val="-4"/>
                <w:sz w:val="24"/>
                <w:szCs w:val="24"/>
                <w14:textOutline w14:w="4358" w14:cap="sq" w14:cmpd="sng">
                  <w14:solidFill>
                    <w14:srgbClr w14:val="000000"/>
                  </w14:solidFill>
                  <w14:prstDash w14:val="solid"/>
                  <w14:bevel/>
                </w14:textOutline>
              </w:rPr>
              <w:t>序号</w:t>
            </w:r>
          </w:p>
        </w:tc>
        <w:tc>
          <w:tcPr>
            <w:tcW w:w="1679" w:type="dxa"/>
            <w:vAlign w:val="top"/>
          </w:tcPr>
          <w:p w14:paraId="5E241704">
            <w:pPr>
              <w:pStyle w:val="10"/>
              <w:spacing w:before="42" w:line="206" w:lineRule="auto"/>
              <w:ind w:left="600"/>
              <w:rPr>
                <w:rFonts w:hint="eastAsia" w:ascii="仿宋" w:hAnsi="仿宋" w:eastAsia="仿宋" w:cs="仿宋"/>
                <w:sz w:val="24"/>
                <w:szCs w:val="24"/>
              </w:rPr>
            </w:pPr>
            <w:r>
              <w:rPr>
                <w:rFonts w:hint="eastAsia" w:ascii="仿宋" w:hAnsi="仿宋" w:eastAsia="仿宋" w:cs="仿宋"/>
                <w:spacing w:val="-3"/>
                <w:sz w:val="24"/>
                <w:szCs w:val="24"/>
                <w14:textOutline w14:w="4358" w14:cap="sq" w14:cmpd="sng">
                  <w14:solidFill>
                    <w14:srgbClr w14:val="000000"/>
                  </w14:solidFill>
                  <w14:prstDash w14:val="solid"/>
                  <w14:bevel/>
                </w14:textOutline>
              </w:rPr>
              <w:t>名称</w:t>
            </w:r>
          </w:p>
        </w:tc>
        <w:tc>
          <w:tcPr>
            <w:tcW w:w="5689" w:type="dxa"/>
            <w:vAlign w:val="top"/>
          </w:tcPr>
          <w:p w14:paraId="2B55BE0A">
            <w:pPr>
              <w:pStyle w:val="10"/>
              <w:spacing w:before="42" w:line="206" w:lineRule="auto"/>
              <w:ind w:left="2370"/>
              <w:rPr>
                <w:rFonts w:hint="eastAsia" w:ascii="仿宋" w:hAnsi="仿宋" w:eastAsia="仿宋" w:cs="仿宋"/>
                <w:sz w:val="24"/>
                <w:szCs w:val="24"/>
              </w:rPr>
            </w:pPr>
            <w:r>
              <w:rPr>
                <w:rFonts w:hint="eastAsia" w:ascii="仿宋" w:hAnsi="仿宋" w:eastAsia="仿宋" w:cs="仿宋"/>
                <w:spacing w:val="-3"/>
                <w:sz w:val="24"/>
                <w:szCs w:val="24"/>
                <w14:textOutline w14:w="4358" w14:cap="sq" w14:cmpd="sng">
                  <w14:solidFill>
                    <w14:srgbClr w14:val="000000"/>
                  </w14:solidFill>
                  <w14:prstDash w14:val="solid"/>
                  <w14:bevel/>
                </w14:textOutline>
              </w:rPr>
              <w:t>技术参数</w:t>
            </w:r>
          </w:p>
        </w:tc>
      </w:tr>
      <w:tr w14:paraId="0A3F2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6" w:hRule="atLeast"/>
          <w:jc w:val="center"/>
        </w:trPr>
        <w:tc>
          <w:tcPr>
            <w:tcW w:w="858" w:type="dxa"/>
            <w:vAlign w:val="top"/>
          </w:tcPr>
          <w:p w14:paraId="3C9400C4">
            <w:pPr>
              <w:spacing w:line="471" w:lineRule="auto"/>
              <w:rPr>
                <w:rFonts w:hint="eastAsia" w:ascii="仿宋" w:hAnsi="仿宋" w:eastAsia="仿宋" w:cs="仿宋"/>
                <w:sz w:val="24"/>
                <w:szCs w:val="24"/>
              </w:rPr>
            </w:pPr>
          </w:p>
          <w:p w14:paraId="4223AEE9">
            <w:pPr>
              <w:spacing w:before="69" w:line="188" w:lineRule="auto"/>
              <w:ind w:left="394"/>
              <w:rPr>
                <w:rFonts w:hint="eastAsia" w:ascii="仿宋" w:hAnsi="仿宋" w:eastAsia="仿宋" w:cs="仿宋"/>
                <w:sz w:val="24"/>
                <w:szCs w:val="24"/>
              </w:rPr>
            </w:pPr>
            <w:r>
              <w:rPr>
                <w:rFonts w:hint="eastAsia" w:ascii="仿宋" w:hAnsi="仿宋" w:eastAsia="仿宋" w:cs="仿宋"/>
                <w:sz w:val="24"/>
                <w:szCs w:val="24"/>
              </w:rPr>
              <w:t>1</w:t>
            </w:r>
          </w:p>
        </w:tc>
        <w:tc>
          <w:tcPr>
            <w:tcW w:w="1679" w:type="dxa"/>
            <w:vAlign w:val="top"/>
          </w:tcPr>
          <w:p w14:paraId="0CC576AC">
            <w:pPr>
              <w:spacing w:line="422" w:lineRule="auto"/>
              <w:rPr>
                <w:rFonts w:hint="eastAsia" w:ascii="仿宋" w:hAnsi="仿宋" w:eastAsia="仿宋" w:cs="仿宋"/>
                <w:sz w:val="24"/>
                <w:szCs w:val="24"/>
              </w:rPr>
            </w:pPr>
          </w:p>
          <w:p w14:paraId="69971491">
            <w:pPr>
              <w:pStyle w:val="10"/>
              <w:spacing w:before="78" w:line="216" w:lineRule="auto"/>
              <w:ind w:left="122"/>
              <w:rPr>
                <w:rFonts w:hint="eastAsia" w:ascii="仿宋" w:hAnsi="仿宋" w:eastAsia="仿宋" w:cs="仿宋"/>
                <w:sz w:val="24"/>
                <w:szCs w:val="24"/>
              </w:rPr>
            </w:pPr>
            <w:r>
              <w:rPr>
                <w:rFonts w:hint="eastAsia" w:ascii="仿宋" w:hAnsi="仿宋" w:eastAsia="仿宋" w:cs="仿宋"/>
                <w:spacing w:val="-2"/>
                <w:sz w:val="24"/>
                <w:szCs w:val="24"/>
              </w:rPr>
              <w:t>压缩空气系统</w:t>
            </w:r>
          </w:p>
        </w:tc>
        <w:tc>
          <w:tcPr>
            <w:tcW w:w="5689" w:type="dxa"/>
            <w:vAlign w:val="top"/>
          </w:tcPr>
          <w:p w14:paraId="6AAD4150">
            <w:pPr>
              <w:pStyle w:val="10"/>
              <w:spacing w:before="34" w:line="231" w:lineRule="auto"/>
              <w:ind w:left="113" w:right="107" w:hanging="4"/>
              <w:jc w:val="both"/>
              <w:rPr>
                <w:rFonts w:hint="eastAsia" w:ascii="仿宋" w:hAnsi="仿宋" w:eastAsia="仿宋" w:cs="仿宋"/>
                <w:sz w:val="24"/>
                <w:szCs w:val="24"/>
              </w:rPr>
            </w:pPr>
            <w:r>
              <w:rPr>
                <w:rFonts w:hint="eastAsia" w:ascii="仿宋" w:hAnsi="仿宋" w:eastAsia="仿宋" w:cs="仿宋"/>
                <w:spacing w:val="-3"/>
                <w:sz w:val="24"/>
                <w:szCs w:val="24"/>
              </w:rPr>
              <w:t>含压缩机、油水分离器、冷干机、储气罐、压缩空气管路，满足所有喷枪、气动打磨机、吹风筒及供气式面罩同时稳定使用，工具端气压表显示供气压力最大</w:t>
            </w:r>
            <w:r>
              <w:rPr>
                <w:rFonts w:hint="eastAsia" w:ascii="仿宋" w:hAnsi="仿宋" w:eastAsia="仿宋" w:cs="仿宋"/>
                <w:spacing w:val="-2"/>
                <w:sz w:val="24"/>
                <w:szCs w:val="24"/>
              </w:rPr>
              <w:t>降幅不超过0.2bar</w:t>
            </w:r>
          </w:p>
        </w:tc>
      </w:tr>
      <w:tr w14:paraId="54FC2A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1" w:hRule="atLeast"/>
          <w:jc w:val="center"/>
        </w:trPr>
        <w:tc>
          <w:tcPr>
            <w:tcW w:w="858" w:type="dxa"/>
            <w:vAlign w:val="top"/>
          </w:tcPr>
          <w:p w14:paraId="010752FE">
            <w:pPr>
              <w:spacing w:before="82" w:line="188" w:lineRule="auto"/>
              <w:ind w:left="371"/>
              <w:rPr>
                <w:rFonts w:hint="eastAsia" w:ascii="仿宋" w:hAnsi="仿宋" w:eastAsia="仿宋" w:cs="仿宋"/>
                <w:sz w:val="24"/>
                <w:szCs w:val="24"/>
              </w:rPr>
            </w:pPr>
            <w:r>
              <w:rPr>
                <w:rFonts w:hint="eastAsia" w:ascii="仿宋" w:hAnsi="仿宋" w:eastAsia="仿宋" w:cs="仿宋"/>
                <w:sz w:val="24"/>
                <w:szCs w:val="24"/>
              </w:rPr>
              <w:t>2</w:t>
            </w:r>
          </w:p>
        </w:tc>
        <w:tc>
          <w:tcPr>
            <w:tcW w:w="1679" w:type="dxa"/>
            <w:vAlign w:val="top"/>
          </w:tcPr>
          <w:p w14:paraId="161C80CA">
            <w:pPr>
              <w:pStyle w:val="10"/>
              <w:spacing w:before="40" w:line="208" w:lineRule="auto"/>
              <w:ind w:left="247"/>
              <w:rPr>
                <w:rFonts w:hint="eastAsia" w:ascii="仿宋" w:hAnsi="仿宋" w:eastAsia="仿宋" w:cs="仿宋"/>
                <w:sz w:val="24"/>
                <w:szCs w:val="24"/>
              </w:rPr>
            </w:pPr>
            <w:r>
              <w:rPr>
                <w:rFonts w:hint="eastAsia" w:ascii="仿宋" w:hAnsi="仿宋" w:eastAsia="仿宋" w:cs="仿宋"/>
                <w:spacing w:val="-3"/>
                <w:sz w:val="24"/>
                <w:szCs w:val="24"/>
              </w:rPr>
              <w:t>备用发电机</w:t>
            </w:r>
          </w:p>
        </w:tc>
        <w:tc>
          <w:tcPr>
            <w:tcW w:w="5689" w:type="dxa"/>
            <w:vAlign w:val="top"/>
          </w:tcPr>
          <w:p w14:paraId="0EAAC546">
            <w:pPr>
              <w:pStyle w:val="10"/>
              <w:spacing w:before="40" w:line="208" w:lineRule="auto"/>
              <w:ind w:left="116"/>
              <w:rPr>
                <w:rFonts w:hint="eastAsia" w:ascii="仿宋" w:hAnsi="仿宋" w:eastAsia="仿宋" w:cs="仿宋"/>
                <w:sz w:val="24"/>
                <w:szCs w:val="24"/>
              </w:rPr>
            </w:pPr>
            <w:r>
              <w:rPr>
                <w:rFonts w:hint="eastAsia" w:ascii="仿宋" w:hAnsi="仿宋" w:eastAsia="仿宋" w:cs="仿宋"/>
                <w:spacing w:val="-3"/>
                <w:sz w:val="24"/>
                <w:szCs w:val="24"/>
              </w:rPr>
              <w:t>备用，可同时供给赛场所有设备同时运行所需的电量</w:t>
            </w:r>
          </w:p>
        </w:tc>
      </w:tr>
    </w:tbl>
    <w:p w14:paraId="05BEE143">
      <w:pPr>
        <w:keepNext w:val="0"/>
        <w:keepLines w:val="0"/>
        <w:pageBreakBefore w:val="0"/>
        <w:widowControl/>
        <w:kinsoku w:val="0"/>
        <w:wordWrap/>
        <w:overflowPunct/>
        <w:topLinePunct w:val="0"/>
        <w:autoSpaceDE w:val="0"/>
        <w:autoSpaceDN w:val="0"/>
        <w:bidi w:val="0"/>
        <w:adjustRightInd w:val="0"/>
        <w:snapToGrid w:val="0"/>
        <w:spacing w:line="240" w:lineRule="auto"/>
        <w:ind w:left="0"/>
        <w:jc w:val="both"/>
        <w:textAlignment w:val="baseline"/>
        <w:rPr>
          <w:rFonts w:ascii="黑体" w:hAnsi="黑体" w:eastAsia="黑体" w:cs="黑体"/>
          <w:spacing w:val="-7"/>
          <w:sz w:val="28"/>
          <w:szCs w:val="28"/>
          <w14:textOutline w14:w="5103" w14:cap="sq" w14:cmpd="sng">
            <w14:solidFill>
              <w14:srgbClr w14:val="000000"/>
            </w14:solidFill>
            <w14:prstDash w14:val="solid"/>
            <w14:bevel/>
          </w14:textOutline>
        </w:rPr>
      </w:pPr>
    </w:p>
    <w:p w14:paraId="1AE78C77">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z w:val="28"/>
          <w:szCs w:val="28"/>
        </w:rPr>
      </w:pPr>
      <w:r>
        <w:rPr>
          <w:rFonts w:ascii="黑体" w:hAnsi="黑体" w:eastAsia="黑体" w:cs="黑体"/>
          <w:spacing w:val="-7"/>
          <w:sz w:val="28"/>
          <w:szCs w:val="28"/>
          <w14:textOutline w14:w="5103" w14:cap="sq" w14:cmpd="sng">
            <w14:solidFill>
              <w14:srgbClr w14:val="000000"/>
            </w14:solidFill>
            <w14:prstDash w14:val="solid"/>
            <w14:bevel/>
          </w14:textOutline>
        </w:rPr>
        <w:t>表</w:t>
      </w:r>
      <w:r>
        <w:rPr>
          <w:rFonts w:hint="eastAsia" w:ascii="黑体" w:hAnsi="黑体" w:eastAsia="黑体" w:cs="黑体"/>
          <w:spacing w:val="-7"/>
          <w:sz w:val="28"/>
          <w:szCs w:val="28"/>
          <w:lang w:val="en-US" w:eastAsia="zh-CN"/>
          <w14:textOutline w14:w="5103" w14:cap="sq" w14:cmpd="sng">
            <w14:solidFill>
              <w14:srgbClr w14:val="000000"/>
            </w14:solidFill>
            <w14:prstDash w14:val="solid"/>
            <w14:bevel/>
          </w14:textOutline>
        </w:rPr>
        <w:t>6</w:t>
      </w:r>
      <w:r>
        <w:rPr>
          <w:rFonts w:hint="eastAsia" w:ascii="Times New Roman" w:hAnsi="Times New Roman" w:eastAsia="宋体" w:cs="Times New Roman"/>
          <w:b/>
          <w:bCs/>
          <w:spacing w:val="-7"/>
          <w:sz w:val="28"/>
          <w:szCs w:val="28"/>
          <w:lang w:val="en-US" w:eastAsia="zh-CN"/>
        </w:rPr>
        <w:t xml:space="preserve">   </w:t>
      </w:r>
      <w:r>
        <w:rPr>
          <w:rFonts w:ascii="黑体" w:hAnsi="黑体" w:eastAsia="黑体" w:cs="黑体"/>
          <w:spacing w:val="-7"/>
          <w:sz w:val="28"/>
          <w:szCs w:val="28"/>
          <w14:textOutline w14:w="5103" w14:cap="sq" w14:cmpd="sng">
            <w14:solidFill>
              <w14:srgbClr w14:val="000000"/>
            </w14:solidFill>
            <w14:prstDash w14:val="solid"/>
            <w14:bevel/>
          </w14:textOutline>
        </w:rPr>
        <w:t>自带设备工具清单</w:t>
      </w:r>
    </w:p>
    <w:p w14:paraId="118C5B96">
      <w:pPr>
        <w:spacing w:line="23" w:lineRule="exact"/>
      </w:pPr>
    </w:p>
    <w:tbl>
      <w:tblPr>
        <w:tblStyle w:val="9"/>
        <w:tblW w:w="822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
        <w:gridCol w:w="2266"/>
        <w:gridCol w:w="4964"/>
      </w:tblGrid>
      <w:tr w14:paraId="3DDC3A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996" w:type="dxa"/>
            <w:vAlign w:val="center"/>
          </w:tcPr>
          <w:p w14:paraId="7D47C2B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4"/>
                <w:sz w:val="24"/>
                <w:szCs w:val="24"/>
                <w14:textOutline w14:w="4358" w14:cap="sq" w14:cmpd="sng">
                  <w14:solidFill>
                    <w14:srgbClr w14:val="000000"/>
                  </w14:solidFill>
                  <w14:prstDash w14:val="solid"/>
                  <w14:bevel/>
                </w14:textOutline>
              </w:rPr>
              <w:t>序号</w:t>
            </w:r>
          </w:p>
        </w:tc>
        <w:tc>
          <w:tcPr>
            <w:tcW w:w="2266" w:type="dxa"/>
            <w:vAlign w:val="center"/>
          </w:tcPr>
          <w:p w14:paraId="47199DE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14:textOutline w14:w="4358" w14:cap="sq" w14:cmpd="sng">
                  <w14:solidFill>
                    <w14:srgbClr w14:val="000000"/>
                  </w14:solidFill>
                  <w14:prstDash w14:val="solid"/>
                  <w14:bevel/>
                </w14:textOutline>
              </w:rPr>
              <w:t>名称</w:t>
            </w:r>
          </w:p>
        </w:tc>
        <w:tc>
          <w:tcPr>
            <w:tcW w:w="4964" w:type="dxa"/>
            <w:vAlign w:val="center"/>
          </w:tcPr>
          <w:p w14:paraId="6A9D930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3"/>
                <w:sz w:val="24"/>
                <w:szCs w:val="24"/>
                <w14:textOutline w14:w="4358" w14:cap="sq" w14:cmpd="sng">
                  <w14:solidFill>
                    <w14:srgbClr w14:val="000000"/>
                  </w14:solidFill>
                  <w14:prstDash w14:val="solid"/>
                  <w14:bevel/>
                </w14:textOutline>
              </w:rPr>
              <w:t>技术规格</w:t>
            </w:r>
          </w:p>
        </w:tc>
      </w:tr>
      <w:tr w14:paraId="43244B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jc w:val="center"/>
        </w:trPr>
        <w:tc>
          <w:tcPr>
            <w:tcW w:w="996" w:type="dxa"/>
            <w:vAlign w:val="center"/>
          </w:tcPr>
          <w:p w14:paraId="34A3543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1</w:t>
            </w:r>
          </w:p>
        </w:tc>
        <w:tc>
          <w:tcPr>
            <w:tcW w:w="2266" w:type="dxa"/>
            <w:vAlign w:val="center"/>
          </w:tcPr>
          <w:p w14:paraId="6129CDB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cs="仿宋"/>
                <w:spacing w:val="-4"/>
                <w:sz w:val="24"/>
                <w:szCs w:val="24"/>
                <w:lang w:eastAsia="zh-CN"/>
              </w:rPr>
              <w:t>防尘</w:t>
            </w:r>
            <w:r>
              <w:rPr>
                <w:rFonts w:hint="eastAsia" w:ascii="仿宋" w:hAnsi="仿宋" w:eastAsia="仿宋" w:cs="仿宋"/>
                <w:spacing w:val="-4"/>
                <w:sz w:val="24"/>
                <w:szCs w:val="24"/>
              </w:rPr>
              <w:t>口罩</w:t>
            </w:r>
          </w:p>
        </w:tc>
        <w:tc>
          <w:tcPr>
            <w:tcW w:w="4964" w:type="dxa"/>
            <w:vAlign w:val="center"/>
          </w:tcPr>
          <w:p w14:paraId="574B9B1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8"/>
                <w:sz w:val="24"/>
                <w:szCs w:val="24"/>
              </w:rPr>
              <w:t>通用</w:t>
            </w:r>
          </w:p>
        </w:tc>
      </w:tr>
      <w:tr w14:paraId="3A009B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7110F72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2</w:t>
            </w:r>
          </w:p>
        </w:tc>
        <w:tc>
          <w:tcPr>
            <w:tcW w:w="2266" w:type="dxa"/>
            <w:vAlign w:val="center"/>
          </w:tcPr>
          <w:p w14:paraId="481119C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4"/>
                <w:sz w:val="24"/>
                <w:szCs w:val="24"/>
              </w:rPr>
              <w:t>安全工作鞋</w:t>
            </w:r>
          </w:p>
        </w:tc>
        <w:tc>
          <w:tcPr>
            <w:tcW w:w="4964" w:type="dxa"/>
            <w:vAlign w:val="center"/>
          </w:tcPr>
          <w:p w14:paraId="29B3230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8"/>
                <w:sz w:val="24"/>
                <w:szCs w:val="24"/>
              </w:rPr>
              <w:t>通用</w:t>
            </w:r>
          </w:p>
        </w:tc>
      </w:tr>
      <w:tr w14:paraId="5DFF11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339391F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3</w:t>
            </w:r>
          </w:p>
        </w:tc>
        <w:tc>
          <w:tcPr>
            <w:tcW w:w="2266" w:type="dxa"/>
            <w:vAlign w:val="center"/>
          </w:tcPr>
          <w:p w14:paraId="32AA7D6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仿宋" w:hAnsi="仿宋" w:eastAsia="仿宋" w:cs="仿宋"/>
                <w:sz w:val="24"/>
                <w:szCs w:val="24"/>
              </w:rPr>
            </w:pPr>
            <w:r>
              <w:rPr>
                <w:rFonts w:hint="eastAsia" w:ascii="仿宋" w:hAnsi="仿宋" w:eastAsia="仿宋" w:cs="仿宋"/>
                <w:spacing w:val="-7"/>
                <w:sz w:val="24"/>
                <w:szCs w:val="24"/>
              </w:rPr>
              <w:t>护目镜</w:t>
            </w:r>
          </w:p>
        </w:tc>
        <w:tc>
          <w:tcPr>
            <w:tcW w:w="4964" w:type="dxa"/>
            <w:vAlign w:val="center"/>
          </w:tcPr>
          <w:p w14:paraId="72F785E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8"/>
                <w:sz w:val="24"/>
                <w:szCs w:val="24"/>
              </w:rPr>
              <w:t>通用</w:t>
            </w:r>
          </w:p>
        </w:tc>
      </w:tr>
      <w:tr w14:paraId="1B60B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jc w:val="center"/>
        </w:trPr>
        <w:tc>
          <w:tcPr>
            <w:tcW w:w="996" w:type="dxa"/>
            <w:vAlign w:val="center"/>
          </w:tcPr>
          <w:p w14:paraId="18BEA115">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4</w:t>
            </w:r>
          </w:p>
        </w:tc>
        <w:tc>
          <w:tcPr>
            <w:tcW w:w="2266" w:type="dxa"/>
            <w:vAlign w:val="center"/>
          </w:tcPr>
          <w:p w14:paraId="2ABDB70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仿宋" w:hAnsi="仿宋" w:eastAsia="仿宋" w:cs="仿宋"/>
                <w:sz w:val="24"/>
                <w:szCs w:val="24"/>
              </w:rPr>
            </w:pPr>
            <w:r>
              <w:rPr>
                <w:rFonts w:hint="eastAsia" w:cs="仿宋"/>
                <w:spacing w:val="-10"/>
                <w:sz w:val="24"/>
                <w:szCs w:val="24"/>
                <w:lang w:eastAsia="zh-CN"/>
              </w:rPr>
              <w:t>线</w:t>
            </w:r>
            <w:r>
              <w:rPr>
                <w:rFonts w:hint="eastAsia" w:ascii="仿宋" w:hAnsi="仿宋" w:eastAsia="仿宋" w:cs="仿宋"/>
                <w:spacing w:val="-10"/>
                <w:sz w:val="24"/>
                <w:szCs w:val="24"/>
              </w:rPr>
              <w:t>手套</w:t>
            </w:r>
          </w:p>
        </w:tc>
        <w:tc>
          <w:tcPr>
            <w:tcW w:w="4964" w:type="dxa"/>
            <w:vAlign w:val="center"/>
          </w:tcPr>
          <w:p w14:paraId="568BC43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8"/>
                <w:sz w:val="24"/>
                <w:szCs w:val="24"/>
              </w:rPr>
              <w:t>通用</w:t>
            </w:r>
          </w:p>
        </w:tc>
      </w:tr>
      <w:tr w14:paraId="76CC2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4C3E23BE">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5</w:t>
            </w:r>
          </w:p>
        </w:tc>
        <w:tc>
          <w:tcPr>
            <w:tcW w:w="2266" w:type="dxa"/>
            <w:vAlign w:val="center"/>
          </w:tcPr>
          <w:p w14:paraId="686D607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jc w:val="center"/>
              <w:textAlignment w:val="baseline"/>
              <w:rPr>
                <w:rFonts w:hint="eastAsia" w:ascii="仿宋" w:hAnsi="仿宋" w:eastAsia="仿宋" w:cs="仿宋"/>
                <w:sz w:val="24"/>
                <w:szCs w:val="24"/>
              </w:rPr>
            </w:pPr>
            <w:r>
              <w:rPr>
                <w:rFonts w:hint="eastAsia" w:ascii="仿宋" w:hAnsi="仿宋" w:eastAsia="仿宋" w:cs="仿宋"/>
                <w:spacing w:val="-9"/>
                <w:sz w:val="24"/>
                <w:szCs w:val="24"/>
              </w:rPr>
              <w:t>耳塞</w:t>
            </w:r>
          </w:p>
        </w:tc>
        <w:tc>
          <w:tcPr>
            <w:tcW w:w="4964" w:type="dxa"/>
            <w:vAlign w:val="center"/>
          </w:tcPr>
          <w:p w14:paraId="57505AF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8"/>
                <w:sz w:val="24"/>
                <w:szCs w:val="24"/>
              </w:rPr>
              <w:t>通用</w:t>
            </w:r>
          </w:p>
        </w:tc>
      </w:tr>
      <w:tr w14:paraId="203BBE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jc w:val="center"/>
        </w:trPr>
        <w:tc>
          <w:tcPr>
            <w:tcW w:w="996" w:type="dxa"/>
            <w:vAlign w:val="center"/>
          </w:tcPr>
          <w:p w14:paraId="2D0EFD8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6</w:t>
            </w:r>
          </w:p>
        </w:tc>
        <w:tc>
          <w:tcPr>
            <w:tcW w:w="2266" w:type="dxa"/>
            <w:vAlign w:val="center"/>
          </w:tcPr>
          <w:p w14:paraId="19D6DF2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03DDE61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5FA33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2CA2921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7</w:t>
            </w:r>
          </w:p>
        </w:tc>
        <w:tc>
          <w:tcPr>
            <w:tcW w:w="2266" w:type="dxa"/>
            <w:vAlign w:val="center"/>
          </w:tcPr>
          <w:p w14:paraId="228C1F9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4590890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3156E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6B76976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8</w:t>
            </w:r>
          </w:p>
        </w:tc>
        <w:tc>
          <w:tcPr>
            <w:tcW w:w="2266" w:type="dxa"/>
            <w:vAlign w:val="center"/>
          </w:tcPr>
          <w:p w14:paraId="00285E9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23146ACF">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00C51B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3AFB4E5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z w:val="24"/>
                <w:szCs w:val="24"/>
              </w:rPr>
              <w:t>9</w:t>
            </w:r>
          </w:p>
        </w:tc>
        <w:tc>
          <w:tcPr>
            <w:tcW w:w="2266" w:type="dxa"/>
            <w:vAlign w:val="center"/>
          </w:tcPr>
          <w:p w14:paraId="738EE9C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00E0DB4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023D5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jc w:val="center"/>
        </w:trPr>
        <w:tc>
          <w:tcPr>
            <w:tcW w:w="996" w:type="dxa"/>
            <w:vAlign w:val="center"/>
          </w:tcPr>
          <w:p w14:paraId="3116657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15"/>
                <w:sz w:val="24"/>
                <w:szCs w:val="24"/>
              </w:rPr>
              <w:t>10</w:t>
            </w:r>
          </w:p>
        </w:tc>
        <w:tc>
          <w:tcPr>
            <w:tcW w:w="2266" w:type="dxa"/>
            <w:vAlign w:val="center"/>
          </w:tcPr>
          <w:p w14:paraId="122376E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227C099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1148B0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5E87F812">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15"/>
                <w:sz w:val="24"/>
                <w:szCs w:val="24"/>
              </w:rPr>
              <w:t>11</w:t>
            </w:r>
          </w:p>
        </w:tc>
        <w:tc>
          <w:tcPr>
            <w:tcW w:w="2266" w:type="dxa"/>
            <w:vAlign w:val="center"/>
          </w:tcPr>
          <w:p w14:paraId="7165187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400E647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32337E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0190EF51">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15"/>
                <w:sz w:val="24"/>
                <w:szCs w:val="24"/>
              </w:rPr>
              <w:t>12</w:t>
            </w:r>
          </w:p>
        </w:tc>
        <w:tc>
          <w:tcPr>
            <w:tcW w:w="2266" w:type="dxa"/>
            <w:vAlign w:val="center"/>
          </w:tcPr>
          <w:p w14:paraId="4890327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2EE1E06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015D0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996" w:type="dxa"/>
            <w:vAlign w:val="center"/>
          </w:tcPr>
          <w:p w14:paraId="04D79F7C">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15"/>
                <w:sz w:val="24"/>
                <w:szCs w:val="24"/>
              </w:rPr>
              <w:t>13</w:t>
            </w:r>
          </w:p>
        </w:tc>
        <w:tc>
          <w:tcPr>
            <w:tcW w:w="2266" w:type="dxa"/>
            <w:vAlign w:val="center"/>
          </w:tcPr>
          <w:p w14:paraId="7833313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56F8C5F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r w14:paraId="650ACD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996" w:type="dxa"/>
            <w:vAlign w:val="center"/>
          </w:tcPr>
          <w:p w14:paraId="7F8A5DB0">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r>
              <w:rPr>
                <w:rFonts w:hint="eastAsia" w:ascii="仿宋" w:hAnsi="仿宋" w:eastAsia="仿宋" w:cs="仿宋"/>
                <w:spacing w:val="-15"/>
                <w:sz w:val="24"/>
                <w:szCs w:val="24"/>
              </w:rPr>
              <w:t>14</w:t>
            </w:r>
          </w:p>
        </w:tc>
        <w:tc>
          <w:tcPr>
            <w:tcW w:w="2266" w:type="dxa"/>
            <w:vAlign w:val="center"/>
          </w:tcPr>
          <w:p w14:paraId="1CDBB56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c>
          <w:tcPr>
            <w:tcW w:w="4964" w:type="dxa"/>
            <w:vAlign w:val="center"/>
          </w:tcPr>
          <w:p w14:paraId="52E95CF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hint="eastAsia" w:ascii="仿宋" w:hAnsi="仿宋" w:eastAsia="仿宋" w:cs="仿宋"/>
                <w:sz w:val="24"/>
                <w:szCs w:val="24"/>
              </w:rPr>
            </w:pPr>
          </w:p>
        </w:tc>
      </w:tr>
    </w:tbl>
    <w:p w14:paraId="5109185B">
      <w:pPr>
        <w:pStyle w:val="2"/>
      </w:pPr>
    </w:p>
    <w:p w14:paraId="71C9AD82">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九、竞赛样题</w:t>
      </w:r>
    </w:p>
    <w:p w14:paraId="5A99B32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样题见附件</w:t>
      </w:r>
    </w:p>
    <w:p w14:paraId="0D950A94">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十、赛项安全</w:t>
      </w:r>
    </w:p>
    <w:p w14:paraId="1E9AD81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赛项执委会采取切实有效措施保证大赛期间参赛选手、指导教师、裁判员、工作人员及观众的人身安全。</w:t>
      </w:r>
    </w:p>
    <w:p w14:paraId="26B1FFFD">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（一）比赛环境</w:t>
      </w:r>
    </w:p>
    <w:p w14:paraId="628E0C9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执委会须在赛前组织专人对比赛现场和交通保障进行考察，并对安全工作提出明确要求。赛场的布置和赛场的器材、设备等应符合国家有关安全规定。对赛场进行仿真模拟测试，以发现可能出现的问题。承办单位赛前须按照执委会要求排除安全隐患。</w:t>
      </w:r>
    </w:p>
    <w:p w14:paraId="29F3DADE">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赛场周围要设立警戒线，要求所有参赛人员必须凭执委会印发的有效证件进入场地，防止无关人员进入发生意外事件。比赛现场内应参照相关职业岗位的要求为选手提供必要的劳动保护。在具有危险性的操作环节，裁判员要严防选手出现错误操作。</w:t>
      </w:r>
    </w:p>
    <w:p w14:paraId="4797C6D1">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3.承办单位应提供保证应急预案实施的条件，制定大用电量、易发生火灾安全保障制度和预案，并配备急救人员与设施。</w:t>
      </w:r>
    </w:p>
    <w:p w14:paraId="334EE11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4.严格控制与参赛无关的易燃易爆以及各类危险品进入比赛场地。</w:t>
      </w:r>
    </w:p>
    <w:p w14:paraId="68687C7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5</w:t>
      </w:r>
      <w:r>
        <w:rPr>
          <w:rFonts w:hint="eastAsia" w:ascii="仿宋" w:hAnsi="仿宋" w:eastAsia="仿宋" w:cs="仿宋"/>
          <w:spacing w:val="0"/>
          <w:sz w:val="28"/>
          <w:szCs w:val="28"/>
          <w:lang w:val="en-US" w:eastAsia="zh-CN"/>
        </w:rPr>
        <w:t>.</w:t>
      </w:r>
      <w:r>
        <w:rPr>
          <w:rFonts w:ascii="仿宋" w:hAnsi="仿宋" w:eastAsia="仿宋" w:cs="仿宋"/>
          <w:spacing w:val="0"/>
          <w:sz w:val="28"/>
          <w:szCs w:val="28"/>
        </w:rPr>
        <w:t>大赛现场需对赛场进行网络安全控制，以免场内外信息交互，充分体现大赛的严肃、公平和公正性。</w:t>
      </w:r>
    </w:p>
    <w:p w14:paraId="5BE985A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6.执委会须会同承办单位制定开放赛场和体验区的人员疏导方案。赛场环境中存在人员密集、车流人流交错的区域，除了设置齐全的指示标志外，须增加引导人员，并开辟备用通道。</w:t>
      </w:r>
    </w:p>
    <w:p w14:paraId="0B9E14B8">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7.大赛期间，承办单位须在赛场管理的关键岗位，增加力量，建立安全管理日志。</w:t>
      </w:r>
    </w:p>
    <w:p w14:paraId="4047792A">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（二）生活条件</w:t>
      </w:r>
    </w:p>
    <w:p w14:paraId="59BC2D78">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1.比赛期间，参赛选手和指导教师食宿</w:t>
      </w:r>
      <w:r>
        <w:rPr>
          <w:rFonts w:hint="eastAsia" w:ascii="仿宋" w:hAnsi="仿宋" w:eastAsia="仿宋" w:cs="仿宋"/>
          <w:spacing w:val="0"/>
          <w:sz w:val="28"/>
          <w:szCs w:val="28"/>
          <w:lang w:val="en-US" w:eastAsia="zh-CN"/>
        </w:rPr>
        <w:t>不做统一安排，费用自理</w:t>
      </w:r>
      <w:r>
        <w:rPr>
          <w:rFonts w:ascii="仿宋" w:hAnsi="仿宋" w:eastAsia="仿宋" w:cs="仿宋"/>
          <w:spacing w:val="0"/>
          <w:sz w:val="28"/>
          <w:szCs w:val="28"/>
        </w:rPr>
        <w:t>。</w:t>
      </w:r>
    </w:p>
    <w:p w14:paraId="4E4D3868">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2.赛项的安全管理，除了可以采取必要的安全隔离措施外，应严格遵守国家相关法律法规，保护个人隐私和人身自由。</w:t>
      </w:r>
    </w:p>
    <w:p w14:paraId="53A39D36">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（三）组队责任</w:t>
      </w:r>
    </w:p>
    <w:p w14:paraId="1E50231D">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1.各学校组织代表队时，须安排为参赛选手购买大赛期间的人身意外伤害保险。</w:t>
      </w:r>
    </w:p>
    <w:p w14:paraId="64D7A56C">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2.各学校代表队组成后，须制定相关管理制度，并对所有选手、指导教师进行安全教育。</w:t>
      </w:r>
    </w:p>
    <w:p w14:paraId="5888C517">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3.各参赛队伍须加强对参与比赛人员的安全管理，实现与赛场安全管理的对接。</w:t>
      </w:r>
    </w:p>
    <w:p w14:paraId="0A025474">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（四）应急处理</w:t>
      </w:r>
    </w:p>
    <w:p w14:paraId="5B6AE640">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比赛期间发生意外事故，发现者应第一时间报告执委会，同时采取措施避免事态扩大。执委会应立即启动应急预案并报告组委会。赛项出现重大安全问题可以停赛，是否停赛由执委会决定。事后，执委会应向组委会报告详细情况。</w:t>
      </w:r>
    </w:p>
    <w:p w14:paraId="5CBBEA82">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（五）处罚措施</w:t>
      </w:r>
    </w:p>
    <w:p w14:paraId="63B8DE7B">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1.因参赛队原因造成重大安全事故的，取消其获奖资格。</w:t>
      </w:r>
    </w:p>
    <w:p w14:paraId="470C6B8B">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2.参赛选手比赛期间发生重大安全事故隐患，经赛场工作人员提示、警告无效的，可取消其继续比赛的资格。</w:t>
      </w:r>
    </w:p>
    <w:p w14:paraId="5862058E">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3.赛事工作人员违规的，按照相应的制度追究责任。情节恶劣并造成重大安全事故的，由司法机关追究相应法律责任。</w:t>
      </w:r>
    </w:p>
    <w:p w14:paraId="5A98DC9E">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十一、成绩评定</w:t>
      </w:r>
    </w:p>
    <w:p w14:paraId="5A77678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成绩评定必须在公开、公平、公正、独立、透明的条件下进行，考虑赛项安全，赛项最终得分按百分制计算。</w:t>
      </w:r>
    </w:p>
    <w:p w14:paraId="0D6F6259">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阐述赛项评分标准和评分方式。评分标准须与竞赛内容、赛项模块保持一致，明确赛项模块中需要考核的知识点、技能点，及相应的得分点，做到科学、合理、全面、详细；评分方式包括裁判员人数（含加密裁判）和组成条件要求、裁判评分方法、成绩产生方法、成绩审核方法、成绩公布方法等。</w:t>
      </w:r>
    </w:p>
    <w:p w14:paraId="00093466">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（一）竞赛评分</w:t>
      </w:r>
    </w:p>
    <w:p w14:paraId="2F33DC57">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原则上由2名裁判评分，特殊情况另定。裁判根据评分标准对过程和结果进行评判。所有选手的评分表都要求注明扣分值和扣分原因，由裁判签字，再由裁判长审核后签字确认；确认后的评分表由专人送往统计组，进行审核、统计后录入电脑统计系统，由系统自动转换成百分制后作为竞赛成绩。</w:t>
      </w:r>
    </w:p>
    <w:p w14:paraId="58029A2C">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在竞赛成绩和名次发布前，还需裁判长、监督仲裁组签字确认。</w:t>
      </w:r>
    </w:p>
    <w:p w14:paraId="2EE46189">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（二）计分与排名</w:t>
      </w:r>
    </w:p>
    <w:p w14:paraId="44A5BA75">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按总成绩由高到低排序，总成绩相同则以所有模块作业总用时短的名次在前。</w:t>
      </w:r>
    </w:p>
    <w:p w14:paraId="2B479FC3">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（三）裁判员人数</w:t>
      </w:r>
    </w:p>
    <w:p w14:paraId="4C8832F9">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1.本赛项共</w:t>
      </w:r>
      <w:r>
        <w:rPr>
          <w:rFonts w:hint="eastAsia" w:ascii="仿宋" w:hAnsi="仿宋" w:eastAsia="仿宋" w:cs="仿宋"/>
          <w:spacing w:val="0"/>
          <w:sz w:val="28"/>
          <w:szCs w:val="28"/>
          <w:lang w:val="en-US" w:eastAsia="zh-CN"/>
        </w:rPr>
        <w:t>2</w:t>
      </w:r>
      <w:r>
        <w:rPr>
          <w:rFonts w:ascii="仿宋" w:hAnsi="仿宋" w:eastAsia="仿宋" w:cs="仿宋"/>
          <w:spacing w:val="0"/>
          <w:sz w:val="28"/>
          <w:szCs w:val="28"/>
        </w:rPr>
        <w:t>个模块，其中模块A</w:t>
      </w:r>
      <w:r>
        <w:rPr>
          <w:rFonts w:hint="eastAsia" w:ascii="仿宋" w:hAnsi="仿宋" w:eastAsia="仿宋" w:cs="仿宋"/>
          <w:spacing w:val="0"/>
          <w:sz w:val="28"/>
          <w:szCs w:val="28"/>
          <w:lang w:eastAsia="zh-CN"/>
        </w:rPr>
        <w:t>车门验形样板手工成型</w:t>
      </w:r>
      <w:r>
        <w:rPr>
          <w:rFonts w:ascii="仿宋" w:hAnsi="仿宋" w:eastAsia="仿宋" w:cs="仿宋"/>
          <w:spacing w:val="0"/>
          <w:sz w:val="28"/>
          <w:szCs w:val="28"/>
        </w:rPr>
        <w:t>每个工位2名裁判，模块B车身非结构件整形修复每个工位2名裁判。另需加密裁判</w:t>
      </w:r>
      <w:r>
        <w:rPr>
          <w:rFonts w:hint="eastAsia" w:ascii="仿宋" w:hAnsi="仿宋" w:eastAsia="仿宋" w:cs="仿宋"/>
          <w:spacing w:val="0"/>
          <w:sz w:val="28"/>
          <w:szCs w:val="28"/>
          <w:lang w:val="en-US" w:eastAsia="zh-CN"/>
        </w:rPr>
        <w:t>2</w:t>
      </w:r>
      <w:r>
        <w:rPr>
          <w:rFonts w:ascii="仿宋" w:hAnsi="仿宋" w:eastAsia="仿宋" w:cs="仿宋"/>
          <w:spacing w:val="0"/>
          <w:sz w:val="28"/>
          <w:szCs w:val="28"/>
        </w:rPr>
        <w:t>名，裁判长1名。</w:t>
      </w:r>
    </w:p>
    <w:p w14:paraId="4577996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2.本赛项设专家</w:t>
      </w:r>
      <w:r>
        <w:rPr>
          <w:rFonts w:hint="eastAsia" w:ascii="仿宋" w:hAnsi="仿宋" w:eastAsia="仿宋" w:cs="仿宋"/>
          <w:spacing w:val="0"/>
          <w:sz w:val="28"/>
          <w:szCs w:val="28"/>
          <w:lang w:val="en-US" w:eastAsia="zh-CN"/>
        </w:rPr>
        <w:t>2</w:t>
      </w:r>
      <w:r>
        <w:rPr>
          <w:rFonts w:ascii="仿宋" w:hAnsi="仿宋" w:eastAsia="仿宋" w:cs="仿宋"/>
          <w:spacing w:val="0"/>
          <w:sz w:val="28"/>
          <w:szCs w:val="28"/>
        </w:rPr>
        <w:t>名，各模块设裁判组长1名（由裁判兼任）。</w:t>
      </w:r>
    </w:p>
    <w:p w14:paraId="5198F4A3">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（四）评分细则</w:t>
      </w:r>
    </w:p>
    <w:p w14:paraId="3C31C70A">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3"/>
          <w:sz w:val="28"/>
          <w:szCs w:val="28"/>
        </w:rPr>
      </w:pPr>
    </w:p>
    <w:p w14:paraId="2D71884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3"/>
          <w:sz w:val="28"/>
          <w:szCs w:val="28"/>
        </w:rPr>
      </w:pPr>
      <w:r>
        <w:rPr>
          <w:rFonts w:ascii="黑体" w:hAnsi="黑体" w:eastAsia="黑体" w:cs="黑体"/>
          <w:spacing w:val="-3"/>
          <w:sz w:val="28"/>
          <w:szCs w:val="28"/>
        </w:rPr>
        <w:t>表</w:t>
      </w:r>
      <w:r>
        <w:rPr>
          <w:rFonts w:hint="eastAsia" w:ascii="黑体" w:hAnsi="黑体" w:eastAsia="黑体" w:cs="黑体"/>
          <w:spacing w:val="-3"/>
          <w:sz w:val="28"/>
          <w:szCs w:val="28"/>
          <w:lang w:val="en-US" w:eastAsia="zh-CN"/>
        </w:rPr>
        <w:t xml:space="preserve">7  </w:t>
      </w:r>
      <w:r>
        <w:rPr>
          <w:rFonts w:ascii="黑体" w:hAnsi="黑体" w:eastAsia="黑体" w:cs="黑体"/>
          <w:spacing w:val="-3"/>
          <w:sz w:val="28"/>
          <w:szCs w:val="28"/>
        </w:rPr>
        <w:t>模块A</w:t>
      </w:r>
      <w:r>
        <w:rPr>
          <w:rFonts w:hint="eastAsia" w:ascii="黑体" w:hAnsi="黑体" w:eastAsia="黑体" w:cs="黑体"/>
          <w:spacing w:val="-3"/>
          <w:sz w:val="28"/>
          <w:szCs w:val="28"/>
          <w:lang w:val="en-US" w:eastAsia="zh-CN"/>
        </w:rPr>
        <w:t xml:space="preserve">  </w:t>
      </w:r>
      <w:r>
        <w:rPr>
          <w:rFonts w:hint="eastAsia" w:ascii="仿宋" w:hAnsi="仿宋" w:eastAsia="仿宋" w:cs="仿宋"/>
          <w:spacing w:val="0"/>
          <w:sz w:val="28"/>
          <w:szCs w:val="28"/>
          <w:lang w:eastAsia="zh-CN"/>
        </w:rPr>
        <w:t>车门验形样板手工成型</w:t>
      </w:r>
    </w:p>
    <w:p w14:paraId="350A3A30">
      <w:pPr>
        <w:spacing w:line="25" w:lineRule="exact"/>
      </w:pPr>
    </w:p>
    <w:tbl>
      <w:tblPr>
        <w:tblStyle w:val="9"/>
        <w:tblW w:w="836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0"/>
        <w:gridCol w:w="1802"/>
        <w:gridCol w:w="4715"/>
      </w:tblGrid>
      <w:tr w14:paraId="6F4FF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1850" w:type="dxa"/>
            <w:vAlign w:val="top"/>
          </w:tcPr>
          <w:p w14:paraId="04CDED84">
            <w:pPr>
              <w:pStyle w:val="10"/>
              <w:spacing w:before="104" w:line="219" w:lineRule="auto"/>
              <w:ind w:left="694"/>
            </w:pPr>
            <w:r>
              <w:rPr>
                <w:spacing w:val="-7"/>
                <w14:textOutline w14:w="4358" w14:cap="sq" w14:cmpd="sng">
                  <w14:solidFill>
                    <w14:srgbClr w14:val="000000"/>
                  </w14:solidFill>
                  <w14:prstDash w14:val="solid"/>
                  <w14:bevel/>
                </w14:textOutline>
              </w:rPr>
              <w:t>项目</w:t>
            </w:r>
          </w:p>
        </w:tc>
        <w:tc>
          <w:tcPr>
            <w:tcW w:w="1802" w:type="dxa"/>
            <w:vAlign w:val="top"/>
          </w:tcPr>
          <w:p w14:paraId="6B606D9D">
            <w:pPr>
              <w:pStyle w:val="10"/>
              <w:spacing w:before="104" w:line="218" w:lineRule="auto"/>
              <w:ind w:left="427"/>
            </w:pPr>
            <w:r>
              <w:rPr>
                <w:spacing w:val="-3"/>
                <w14:textOutline w14:w="4358" w14:cap="sq" w14:cmpd="sng">
                  <w14:solidFill>
                    <w14:srgbClr w14:val="000000"/>
                  </w14:solidFill>
                  <w14:prstDash w14:val="solid"/>
                  <w14:bevel/>
                </w14:textOutline>
              </w:rPr>
              <w:t>分值比例</w:t>
            </w:r>
          </w:p>
        </w:tc>
        <w:tc>
          <w:tcPr>
            <w:tcW w:w="4715" w:type="dxa"/>
            <w:vAlign w:val="top"/>
          </w:tcPr>
          <w:p w14:paraId="507589EB">
            <w:pPr>
              <w:pStyle w:val="10"/>
              <w:spacing w:before="104" w:line="217" w:lineRule="auto"/>
              <w:ind w:left="1880"/>
            </w:pPr>
            <w:r>
              <w:rPr>
                <w:spacing w:val="-2"/>
                <w14:textOutline w14:w="4358" w14:cap="sq" w14:cmpd="sng">
                  <w14:solidFill>
                    <w14:srgbClr w14:val="000000"/>
                  </w14:solidFill>
                  <w14:prstDash w14:val="solid"/>
                  <w14:bevel/>
                </w14:textOutline>
              </w:rPr>
              <w:t>评分标准</w:t>
            </w:r>
          </w:p>
        </w:tc>
      </w:tr>
      <w:tr w14:paraId="3471A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jc w:val="center"/>
        </w:trPr>
        <w:tc>
          <w:tcPr>
            <w:tcW w:w="1850" w:type="dxa"/>
            <w:vAlign w:val="top"/>
          </w:tcPr>
          <w:p w14:paraId="3468030E">
            <w:pPr>
              <w:pStyle w:val="10"/>
              <w:spacing w:before="38" w:line="222" w:lineRule="auto"/>
              <w:ind w:left="566" w:right="203" w:hanging="349"/>
            </w:pPr>
            <w:r>
              <w:rPr>
                <w:spacing w:val="-3"/>
              </w:rPr>
              <w:t>工艺流程及维</w:t>
            </w:r>
            <w:r>
              <w:rPr>
                <w:spacing w:val="-2"/>
              </w:rPr>
              <w:t>修质量</w:t>
            </w:r>
          </w:p>
        </w:tc>
        <w:tc>
          <w:tcPr>
            <w:tcW w:w="1802" w:type="dxa"/>
            <w:vAlign w:val="top"/>
          </w:tcPr>
          <w:p w14:paraId="2CF148C8">
            <w:pPr>
              <w:spacing w:before="234" w:line="188" w:lineRule="auto"/>
              <w:ind w:left="686"/>
              <w:rPr>
                <w:rFonts w:ascii="Times New Roman" w:hAnsi="Times New Roman" w:eastAsia="Times New Roman" w:cs="Times New Roman"/>
                <w:sz w:val="24"/>
                <w:szCs w:val="24"/>
              </w:rPr>
            </w:pPr>
            <w:r>
              <w:rPr>
                <w:rFonts w:ascii="Times New Roman" w:hAnsi="Times New Roman" w:eastAsia="Times New Roman" w:cs="Times New Roman"/>
                <w:spacing w:val="-3"/>
                <w:sz w:val="24"/>
                <w:szCs w:val="24"/>
              </w:rPr>
              <w:t>70%</w:t>
            </w:r>
          </w:p>
        </w:tc>
        <w:tc>
          <w:tcPr>
            <w:tcW w:w="4715" w:type="dxa"/>
            <w:vAlign w:val="top"/>
          </w:tcPr>
          <w:p w14:paraId="04DA2AA4">
            <w:pPr>
              <w:pStyle w:val="10"/>
              <w:spacing w:before="38" w:line="222" w:lineRule="auto"/>
              <w:ind w:left="121" w:right="37" w:hanging="3"/>
            </w:pPr>
            <w:r>
              <w:rPr>
                <w:spacing w:val="-13"/>
              </w:rPr>
              <w:t>金属件成型后尺寸、形状符合要求，无裂纹、孔洞，筋线平直，弧度圆顺等。</w:t>
            </w:r>
          </w:p>
        </w:tc>
      </w:tr>
      <w:tr w14:paraId="366B37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26" w:hRule="atLeast"/>
          <w:jc w:val="center"/>
        </w:trPr>
        <w:tc>
          <w:tcPr>
            <w:tcW w:w="1850" w:type="dxa"/>
            <w:vAlign w:val="top"/>
          </w:tcPr>
          <w:p w14:paraId="4FB7B578">
            <w:pPr>
              <w:pStyle w:val="10"/>
              <w:spacing w:before="193" w:line="215" w:lineRule="auto"/>
              <w:ind w:left="451"/>
            </w:pPr>
            <w:r>
              <w:rPr>
                <w:spacing w:val="-3"/>
              </w:rPr>
              <w:t>设备操作</w:t>
            </w:r>
          </w:p>
        </w:tc>
        <w:tc>
          <w:tcPr>
            <w:tcW w:w="1802" w:type="dxa"/>
            <w:vAlign w:val="top"/>
          </w:tcPr>
          <w:p w14:paraId="34202145">
            <w:pPr>
              <w:spacing w:before="234" w:line="188" w:lineRule="auto"/>
              <w:ind w:left="682"/>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20%</w:t>
            </w:r>
          </w:p>
        </w:tc>
        <w:tc>
          <w:tcPr>
            <w:tcW w:w="4715" w:type="dxa"/>
            <w:vAlign w:val="top"/>
          </w:tcPr>
          <w:p w14:paraId="3D30890C">
            <w:pPr>
              <w:pStyle w:val="10"/>
              <w:spacing w:before="38" w:line="222" w:lineRule="auto"/>
              <w:ind w:left="119" w:right="108" w:firstLine="8"/>
            </w:pPr>
            <w:r>
              <w:rPr>
                <w:spacing w:val="-5"/>
              </w:rPr>
              <w:t>整形工具及</w:t>
            </w:r>
            <w:r>
              <w:rPr>
                <w:spacing w:val="-2"/>
              </w:rPr>
              <w:t>组合工具使用符合规范；</w:t>
            </w:r>
          </w:p>
        </w:tc>
      </w:tr>
      <w:tr w14:paraId="3F0B5E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2" w:hRule="atLeast"/>
          <w:jc w:val="center"/>
        </w:trPr>
        <w:tc>
          <w:tcPr>
            <w:tcW w:w="1850" w:type="dxa"/>
            <w:vAlign w:val="top"/>
          </w:tcPr>
          <w:p w14:paraId="5068F030">
            <w:pPr>
              <w:spacing w:line="270" w:lineRule="auto"/>
              <w:rPr>
                <w:rFonts w:ascii="Arial"/>
                <w:sz w:val="21"/>
              </w:rPr>
            </w:pPr>
          </w:p>
          <w:p w14:paraId="520991B1">
            <w:pPr>
              <w:pStyle w:val="10"/>
              <w:spacing w:before="78" w:line="219" w:lineRule="auto"/>
              <w:ind w:left="181"/>
            </w:pPr>
            <w:r>
              <w:rPr>
                <w:spacing w:val="-5"/>
              </w:rPr>
              <w:t>安全、</w:t>
            </w:r>
            <w:r>
              <w:rPr>
                <w:rFonts w:ascii="Times New Roman" w:hAnsi="Times New Roman" w:eastAsia="Times New Roman" w:cs="Times New Roman"/>
                <w:spacing w:val="-5"/>
              </w:rPr>
              <w:t>5S</w:t>
            </w:r>
            <w:r>
              <w:rPr>
                <w:spacing w:val="-5"/>
              </w:rPr>
              <w:t>规范</w:t>
            </w:r>
          </w:p>
        </w:tc>
        <w:tc>
          <w:tcPr>
            <w:tcW w:w="1802" w:type="dxa"/>
            <w:vAlign w:val="top"/>
          </w:tcPr>
          <w:p w14:paraId="6BDE1209">
            <w:pPr>
              <w:spacing w:line="319" w:lineRule="auto"/>
              <w:rPr>
                <w:rFonts w:ascii="Arial"/>
                <w:sz w:val="21"/>
              </w:rPr>
            </w:pPr>
          </w:p>
          <w:p w14:paraId="740A40E2">
            <w:pPr>
              <w:spacing w:before="69" w:line="188" w:lineRule="auto"/>
              <w:ind w:left="705"/>
              <w:rPr>
                <w:rFonts w:ascii="Times New Roman" w:hAnsi="Times New Roman" w:eastAsia="Times New Roman" w:cs="Times New Roman"/>
                <w:sz w:val="24"/>
                <w:szCs w:val="24"/>
              </w:rPr>
            </w:pPr>
            <w:r>
              <w:rPr>
                <w:rFonts w:ascii="Times New Roman" w:hAnsi="Times New Roman" w:eastAsia="Times New Roman" w:cs="Times New Roman"/>
                <w:spacing w:val="-10"/>
                <w:sz w:val="24"/>
                <w:szCs w:val="24"/>
              </w:rPr>
              <w:t>10%</w:t>
            </w:r>
          </w:p>
        </w:tc>
        <w:tc>
          <w:tcPr>
            <w:tcW w:w="4715" w:type="dxa"/>
            <w:vAlign w:val="top"/>
          </w:tcPr>
          <w:p w14:paraId="0D0AE86C">
            <w:pPr>
              <w:pStyle w:val="10"/>
              <w:spacing w:before="38" w:line="229" w:lineRule="auto"/>
              <w:ind w:left="133" w:right="108" w:hanging="11"/>
              <w:jc w:val="both"/>
            </w:pPr>
            <w:r>
              <w:rPr>
                <w:spacing w:val="-5"/>
              </w:rPr>
              <w:t>符合安全操作规程；工、量具摆放整齐；遵守赛场纪律，尊重赛场工作人员，爱惜赛场</w:t>
            </w:r>
            <w:r>
              <w:rPr>
                <w:spacing w:val="-2"/>
              </w:rPr>
              <w:t>的设备和器材，保持工位的整洁。</w:t>
            </w:r>
          </w:p>
        </w:tc>
      </w:tr>
    </w:tbl>
    <w:p w14:paraId="75C35EF3">
      <w:pPr>
        <w:pStyle w:val="2"/>
      </w:pPr>
    </w:p>
    <w:p w14:paraId="70D6BCCF">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3"/>
          <w:sz w:val="28"/>
          <w:szCs w:val="28"/>
        </w:rPr>
      </w:pPr>
    </w:p>
    <w:p w14:paraId="65A6F9B9">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3"/>
          <w:sz w:val="28"/>
          <w:szCs w:val="28"/>
        </w:rPr>
      </w:pPr>
      <w:r>
        <w:rPr>
          <w:rFonts w:ascii="黑体" w:hAnsi="黑体" w:eastAsia="黑体" w:cs="黑体"/>
          <w:spacing w:val="-3"/>
          <w:sz w:val="28"/>
          <w:szCs w:val="28"/>
        </w:rPr>
        <w:t>表</w:t>
      </w:r>
      <w:r>
        <w:rPr>
          <w:rFonts w:hint="eastAsia" w:ascii="黑体" w:hAnsi="黑体" w:eastAsia="黑体" w:cs="黑体"/>
          <w:spacing w:val="-3"/>
          <w:sz w:val="28"/>
          <w:szCs w:val="28"/>
          <w:lang w:val="en-US" w:eastAsia="zh-CN"/>
        </w:rPr>
        <w:t xml:space="preserve">8   </w:t>
      </w:r>
      <w:r>
        <w:rPr>
          <w:rFonts w:ascii="黑体" w:hAnsi="黑体" w:eastAsia="黑体" w:cs="黑体"/>
          <w:spacing w:val="-3"/>
          <w:sz w:val="28"/>
          <w:szCs w:val="28"/>
        </w:rPr>
        <w:t>模块</w:t>
      </w:r>
      <w:r>
        <w:rPr>
          <w:rFonts w:hint="eastAsia" w:ascii="黑体" w:hAnsi="黑体" w:eastAsia="黑体" w:cs="黑体"/>
          <w:spacing w:val="-3"/>
          <w:sz w:val="28"/>
          <w:szCs w:val="28"/>
          <w:lang w:val="en-US" w:eastAsia="zh-CN"/>
        </w:rPr>
        <w:t xml:space="preserve">B  </w:t>
      </w:r>
      <w:r>
        <w:rPr>
          <w:rFonts w:ascii="黑体" w:hAnsi="黑体" w:eastAsia="黑体" w:cs="黑体"/>
          <w:spacing w:val="-3"/>
          <w:sz w:val="28"/>
          <w:szCs w:val="28"/>
        </w:rPr>
        <w:t>车身非结构件整形修复</w:t>
      </w:r>
    </w:p>
    <w:p w14:paraId="401D5EF7">
      <w:pPr>
        <w:spacing w:line="25" w:lineRule="exact"/>
      </w:pPr>
    </w:p>
    <w:tbl>
      <w:tblPr>
        <w:tblStyle w:val="9"/>
        <w:tblW w:w="85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50"/>
        <w:gridCol w:w="1802"/>
        <w:gridCol w:w="4852"/>
      </w:tblGrid>
      <w:tr w14:paraId="1C1A7C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1850" w:type="dxa"/>
            <w:vAlign w:val="top"/>
          </w:tcPr>
          <w:p w14:paraId="2FB51C8D">
            <w:pPr>
              <w:pStyle w:val="10"/>
              <w:spacing w:before="104" w:line="219" w:lineRule="auto"/>
              <w:ind w:left="695"/>
            </w:pPr>
            <w:r>
              <w:rPr>
                <w:spacing w:val="-7"/>
                <w14:textOutline w14:w="4358" w14:cap="sq" w14:cmpd="sng">
                  <w14:solidFill>
                    <w14:srgbClr w14:val="000000"/>
                  </w14:solidFill>
                  <w14:prstDash w14:val="solid"/>
                  <w14:bevel/>
                </w14:textOutline>
              </w:rPr>
              <w:t>项目</w:t>
            </w:r>
          </w:p>
        </w:tc>
        <w:tc>
          <w:tcPr>
            <w:tcW w:w="1802" w:type="dxa"/>
            <w:vAlign w:val="top"/>
          </w:tcPr>
          <w:p w14:paraId="3C70E813">
            <w:pPr>
              <w:pStyle w:val="10"/>
              <w:spacing w:before="104" w:line="218" w:lineRule="auto"/>
              <w:ind w:left="428"/>
            </w:pPr>
            <w:r>
              <w:rPr>
                <w:spacing w:val="-3"/>
                <w14:textOutline w14:w="4358" w14:cap="sq" w14:cmpd="sng">
                  <w14:solidFill>
                    <w14:srgbClr w14:val="000000"/>
                  </w14:solidFill>
                  <w14:prstDash w14:val="solid"/>
                  <w14:bevel/>
                </w14:textOutline>
              </w:rPr>
              <w:t>分值比例</w:t>
            </w:r>
          </w:p>
        </w:tc>
        <w:tc>
          <w:tcPr>
            <w:tcW w:w="4852" w:type="dxa"/>
            <w:vAlign w:val="top"/>
          </w:tcPr>
          <w:p w14:paraId="13221AF0">
            <w:pPr>
              <w:pStyle w:val="10"/>
              <w:spacing w:before="104" w:line="217" w:lineRule="auto"/>
              <w:ind w:left="1950"/>
            </w:pPr>
            <w:r>
              <w:rPr>
                <w:spacing w:val="-2"/>
                <w14:textOutline w14:w="4358" w14:cap="sq" w14:cmpd="sng">
                  <w14:solidFill>
                    <w14:srgbClr w14:val="000000"/>
                  </w14:solidFill>
                  <w14:prstDash w14:val="solid"/>
                  <w14:bevel/>
                </w14:textOutline>
              </w:rPr>
              <w:t>评分标准</w:t>
            </w:r>
          </w:p>
        </w:tc>
      </w:tr>
      <w:tr w14:paraId="16057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8" w:hRule="atLeast"/>
          <w:jc w:val="center"/>
        </w:trPr>
        <w:tc>
          <w:tcPr>
            <w:tcW w:w="1850" w:type="dxa"/>
            <w:vAlign w:val="top"/>
          </w:tcPr>
          <w:p w14:paraId="177188C9">
            <w:pPr>
              <w:spacing w:line="269" w:lineRule="auto"/>
              <w:rPr>
                <w:rFonts w:ascii="Arial"/>
                <w:sz w:val="21"/>
              </w:rPr>
            </w:pPr>
          </w:p>
          <w:p w14:paraId="008EE958">
            <w:pPr>
              <w:pStyle w:val="10"/>
              <w:spacing w:before="78" w:line="228" w:lineRule="auto"/>
              <w:ind w:left="566" w:right="202" w:hanging="349"/>
            </w:pPr>
            <w:r>
              <w:rPr>
                <w:spacing w:val="-3"/>
              </w:rPr>
              <w:t>工艺流程及维</w:t>
            </w:r>
            <w:r>
              <w:rPr>
                <w:spacing w:val="-2"/>
              </w:rPr>
              <w:t>修质量</w:t>
            </w:r>
          </w:p>
        </w:tc>
        <w:tc>
          <w:tcPr>
            <w:tcW w:w="1802" w:type="dxa"/>
            <w:vAlign w:val="top"/>
          </w:tcPr>
          <w:p w14:paraId="6A1AAFC7">
            <w:pPr>
              <w:spacing w:line="472" w:lineRule="auto"/>
              <w:rPr>
                <w:rFonts w:ascii="Arial"/>
                <w:sz w:val="21"/>
              </w:rPr>
            </w:pPr>
          </w:p>
          <w:p w14:paraId="402C8CE2">
            <w:pPr>
              <w:spacing w:before="69" w:line="188" w:lineRule="auto"/>
              <w:ind w:left="687"/>
              <w:rPr>
                <w:rFonts w:ascii="Times New Roman" w:hAnsi="Times New Roman" w:eastAsia="Times New Roman" w:cs="Times New Roman"/>
                <w:sz w:val="24"/>
                <w:szCs w:val="24"/>
              </w:rPr>
            </w:pPr>
            <w:r>
              <w:rPr>
                <w:rFonts w:ascii="Times New Roman" w:hAnsi="Times New Roman" w:eastAsia="Times New Roman" w:cs="Times New Roman"/>
                <w:spacing w:val="-3"/>
                <w:sz w:val="24"/>
                <w:szCs w:val="24"/>
              </w:rPr>
              <w:t>70%</w:t>
            </w:r>
          </w:p>
        </w:tc>
        <w:tc>
          <w:tcPr>
            <w:tcW w:w="4852" w:type="dxa"/>
            <w:vAlign w:val="top"/>
          </w:tcPr>
          <w:p w14:paraId="108697CB">
            <w:pPr>
              <w:pStyle w:val="10"/>
              <w:spacing w:before="36" w:line="231" w:lineRule="auto"/>
              <w:ind w:left="112" w:right="107" w:firstLine="9"/>
              <w:jc w:val="both"/>
            </w:pPr>
            <w:r>
              <w:rPr>
                <w:spacing w:val="3"/>
              </w:rPr>
              <w:t>维修区域板面不能高于原表面，不能低于原</w:t>
            </w:r>
            <w:r>
              <w:rPr>
                <w:spacing w:val="-4"/>
              </w:rPr>
              <w:t>表面</w:t>
            </w:r>
            <w:r>
              <w:rPr>
                <w:rFonts w:ascii="Times New Roman" w:hAnsi="Times New Roman" w:eastAsia="Times New Roman" w:cs="Times New Roman"/>
                <w:spacing w:val="-4"/>
              </w:rPr>
              <w:t>1mm</w:t>
            </w:r>
            <w:r>
              <w:rPr>
                <w:spacing w:val="-4"/>
              </w:rPr>
              <w:t>，板面无孔洞，板面平整度符合要</w:t>
            </w:r>
            <w:r>
              <w:rPr>
                <w:spacing w:val="3"/>
              </w:rPr>
              <w:t>求；金属成型件尺寸、形状符合要求，无裂</w:t>
            </w:r>
            <w:r>
              <w:rPr>
                <w:spacing w:val="-2"/>
              </w:rPr>
              <w:t>纹、孔洞等</w:t>
            </w:r>
          </w:p>
        </w:tc>
      </w:tr>
      <w:tr w14:paraId="16D94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jc w:val="center"/>
        </w:trPr>
        <w:tc>
          <w:tcPr>
            <w:tcW w:w="1850" w:type="dxa"/>
            <w:vAlign w:val="top"/>
          </w:tcPr>
          <w:p w14:paraId="52339854">
            <w:pPr>
              <w:pStyle w:val="10"/>
              <w:spacing w:before="193" w:line="215" w:lineRule="auto"/>
              <w:ind w:left="452"/>
            </w:pPr>
            <w:r>
              <w:rPr>
                <w:spacing w:val="-3"/>
              </w:rPr>
              <w:t>设备操作</w:t>
            </w:r>
          </w:p>
        </w:tc>
        <w:tc>
          <w:tcPr>
            <w:tcW w:w="1802" w:type="dxa"/>
            <w:vAlign w:val="top"/>
          </w:tcPr>
          <w:p w14:paraId="09114407">
            <w:pPr>
              <w:spacing w:before="234" w:line="188" w:lineRule="auto"/>
              <w:ind w:left="683"/>
              <w:rPr>
                <w:rFonts w:ascii="Times New Roman" w:hAnsi="Times New Roman" w:eastAsia="Times New Roman" w:cs="Times New Roman"/>
                <w:sz w:val="24"/>
                <w:szCs w:val="24"/>
              </w:rPr>
            </w:pPr>
            <w:r>
              <w:rPr>
                <w:rFonts w:ascii="Times New Roman" w:hAnsi="Times New Roman" w:eastAsia="Times New Roman" w:cs="Times New Roman"/>
                <w:spacing w:val="-2"/>
                <w:sz w:val="24"/>
                <w:szCs w:val="24"/>
              </w:rPr>
              <w:t>20%</w:t>
            </w:r>
          </w:p>
        </w:tc>
        <w:tc>
          <w:tcPr>
            <w:tcW w:w="4852" w:type="dxa"/>
            <w:vAlign w:val="top"/>
          </w:tcPr>
          <w:p w14:paraId="4331B47D">
            <w:pPr>
              <w:pStyle w:val="10"/>
              <w:spacing w:before="39" w:line="222" w:lineRule="auto"/>
              <w:ind w:left="117" w:right="107" w:firstLine="8"/>
            </w:pPr>
            <w:r>
              <w:rPr>
                <w:spacing w:val="2"/>
              </w:rPr>
              <w:t>外形修复机焊接参数符合要求，整形工具及</w:t>
            </w:r>
            <w:r>
              <w:rPr>
                <w:spacing w:val="-2"/>
              </w:rPr>
              <w:t>组合工具使用符合规范；</w:t>
            </w:r>
          </w:p>
        </w:tc>
      </w:tr>
      <w:tr w14:paraId="3450EA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jc w:val="center"/>
        </w:trPr>
        <w:tc>
          <w:tcPr>
            <w:tcW w:w="1850" w:type="dxa"/>
            <w:vAlign w:val="top"/>
          </w:tcPr>
          <w:p w14:paraId="6C8E5B84">
            <w:pPr>
              <w:spacing w:line="268" w:lineRule="auto"/>
              <w:rPr>
                <w:rFonts w:ascii="Arial"/>
                <w:sz w:val="21"/>
              </w:rPr>
            </w:pPr>
          </w:p>
          <w:p w14:paraId="07382207">
            <w:pPr>
              <w:pStyle w:val="10"/>
              <w:spacing w:before="78" w:line="219" w:lineRule="auto"/>
              <w:ind w:left="181"/>
            </w:pPr>
            <w:r>
              <w:rPr>
                <w:spacing w:val="-5"/>
              </w:rPr>
              <w:t>安全、</w:t>
            </w:r>
            <w:r>
              <w:rPr>
                <w:rFonts w:ascii="Times New Roman" w:hAnsi="Times New Roman" w:eastAsia="Times New Roman" w:cs="Times New Roman"/>
                <w:spacing w:val="-5"/>
              </w:rPr>
              <w:t>5S</w:t>
            </w:r>
            <w:r>
              <w:rPr>
                <w:spacing w:val="-5"/>
              </w:rPr>
              <w:t>规范</w:t>
            </w:r>
          </w:p>
        </w:tc>
        <w:tc>
          <w:tcPr>
            <w:tcW w:w="1802" w:type="dxa"/>
            <w:vAlign w:val="top"/>
          </w:tcPr>
          <w:p w14:paraId="4528C0D0">
            <w:pPr>
              <w:spacing w:line="318" w:lineRule="auto"/>
              <w:rPr>
                <w:rFonts w:ascii="Arial"/>
                <w:sz w:val="21"/>
              </w:rPr>
            </w:pPr>
          </w:p>
          <w:p w14:paraId="135BB19F">
            <w:pPr>
              <w:spacing w:before="69" w:line="188" w:lineRule="auto"/>
              <w:ind w:left="706"/>
              <w:rPr>
                <w:rFonts w:ascii="Times New Roman" w:hAnsi="Times New Roman" w:eastAsia="Times New Roman" w:cs="Times New Roman"/>
                <w:sz w:val="24"/>
                <w:szCs w:val="24"/>
              </w:rPr>
            </w:pPr>
            <w:r>
              <w:rPr>
                <w:rFonts w:ascii="Times New Roman" w:hAnsi="Times New Roman" w:eastAsia="Times New Roman" w:cs="Times New Roman"/>
                <w:spacing w:val="-10"/>
                <w:sz w:val="24"/>
                <w:szCs w:val="24"/>
              </w:rPr>
              <w:t>10%</w:t>
            </w:r>
          </w:p>
        </w:tc>
        <w:tc>
          <w:tcPr>
            <w:tcW w:w="4852" w:type="dxa"/>
            <w:vAlign w:val="top"/>
          </w:tcPr>
          <w:p w14:paraId="57FB4597">
            <w:pPr>
              <w:pStyle w:val="10"/>
              <w:spacing w:before="37" w:line="229" w:lineRule="auto"/>
              <w:ind w:left="132" w:right="107" w:hanging="11"/>
              <w:jc w:val="both"/>
            </w:pPr>
            <w:r>
              <w:rPr>
                <w:spacing w:val="3"/>
              </w:rPr>
              <w:t>符合安全操作规程；工、量具摆放整齐；遵</w:t>
            </w:r>
            <w:r>
              <w:rPr>
                <w:spacing w:val="2"/>
              </w:rPr>
              <w:t>守赛场纪律，尊重赛场工作人员，爱惜赛场</w:t>
            </w:r>
            <w:r>
              <w:rPr>
                <w:spacing w:val="-2"/>
              </w:rPr>
              <w:t>的设备和器材，保持工位的整洁。</w:t>
            </w:r>
          </w:p>
        </w:tc>
      </w:tr>
    </w:tbl>
    <w:p w14:paraId="2A6EB9C4">
      <w:pPr>
        <w:keepNext w:val="0"/>
        <w:keepLines w:val="0"/>
        <w:pageBreakBefore w:val="0"/>
        <w:widowControl/>
        <w:kinsoku w:val="0"/>
        <w:wordWrap/>
        <w:overflowPunct/>
        <w:topLinePunct w:val="0"/>
        <w:autoSpaceDE w:val="0"/>
        <w:autoSpaceDN w:val="0"/>
        <w:bidi w:val="0"/>
        <w:adjustRightInd w:val="0"/>
        <w:snapToGrid w:val="0"/>
        <w:spacing w:line="240" w:lineRule="auto"/>
        <w:ind w:left="0"/>
        <w:jc w:val="center"/>
        <w:textAlignment w:val="baseline"/>
        <w:rPr>
          <w:rFonts w:ascii="黑体" w:hAnsi="黑体" w:eastAsia="黑体" w:cs="黑体"/>
          <w:spacing w:val="-3"/>
          <w:sz w:val="28"/>
          <w:szCs w:val="28"/>
        </w:rPr>
      </w:pPr>
    </w:p>
    <w:p w14:paraId="6D4AA46E">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hint="eastAsia" w:ascii="黑体" w:hAnsi="黑体" w:eastAsia="黑体" w:cs="黑体"/>
          <w:spacing w:val="8"/>
          <w:sz w:val="31"/>
          <w:szCs w:val="31"/>
          <w:lang w:eastAsia="zh-CN"/>
        </w:rPr>
      </w:pPr>
    </w:p>
    <w:p w14:paraId="52AF0E0F">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十二、奖项设置</w:t>
      </w:r>
    </w:p>
    <w:p w14:paraId="0A04C6C9">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hint="eastAsia" w:ascii="仿宋" w:hAnsi="仿宋" w:eastAsia="仿宋" w:cs="仿宋"/>
          <w:spacing w:val="0"/>
          <w:sz w:val="28"/>
          <w:szCs w:val="28"/>
        </w:rPr>
        <w:t>学生赛设团体奖</w:t>
      </w:r>
      <w:r>
        <w:rPr>
          <w:rFonts w:hint="eastAsia" w:ascii="仿宋" w:hAnsi="仿宋" w:eastAsia="仿宋" w:cs="仿宋"/>
          <w:spacing w:val="0"/>
          <w:sz w:val="28"/>
          <w:szCs w:val="28"/>
          <w:lang w:eastAsia="zh-CN"/>
        </w:rPr>
        <w:t>，</w:t>
      </w:r>
      <w:bookmarkStart w:id="0" w:name="_GoBack"/>
      <w:bookmarkEnd w:id="0"/>
      <w:r>
        <w:rPr>
          <w:rFonts w:hint="eastAsia" w:ascii="仿宋" w:hAnsi="仿宋" w:eastAsia="仿宋" w:cs="仿宋"/>
          <w:spacing w:val="0"/>
          <w:sz w:val="28"/>
          <w:szCs w:val="28"/>
        </w:rPr>
        <w:t>团体一</w:t>
      </w:r>
      <w:r>
        <w:rPr>
          <w:rFonts w:hint="eastAsia" w:ascii="仿宋" w:hAnsi="仿宋" w:eastAsia="仿宋" w:cs="仿宋"/>
          <w:spacing w:val="0"/>
          <w:sz w:val="28"/>
          <w:szCs w:val="28"/>
          <w:lang w:eastAsia="zh-CN"/>
        </w:rPr>
        <w:t>、二</w:t>
      </w:r>
      <w:r>
        <w:rPr>
          <w:rFonts w:hint="eastAsia" w:ascii="仿宋" w:hAnsi="仿宋" w:eastAsia="仿宋" w:cs="仿宋"/>
          <w:spacing w:val="0"/>
          <w:sz w:val="28"/>
          <w:szCs w:val="28"/>
        </w:rPr>
        <w:t>等奖指导教师获优秀指导教师奖。团体和个人分设一、二、三等奖，各占10%、20%、30%(小数点后四舍五入）</w:t>
      </w:r>
      <w:r>
        <w:rPr>
          <w:rFonts w:hint="eastAsia" w:ascii="仿宋" w:hAnsi="仿宋" w:eastAsia="仿宋" w:cs="仿宋"/>
          <w:spacing w:val="0"/>
          <w:sz w:val="28"/>
          <w:szCs w:val="28"/>
          <w:lang w:eastAsia="zh-CN"/>
        </w:rPr>
        <w:t>，</w:t>
      </w:r>
      <w:r>
        <w:rPr>
          <w:rFonts w:ascii="仿宋" w:hAnsi="仿宋" w:eastAsia="仿宋" w:cs="仿宋"/>
          <w:spacing w:val="0"/>
          <w:sz w:val="28"/>
          <w:szCs w:val="28"/>
        </w:rPr>
        <w:t>成绩出现并列总用时短者排名靠前。</w:t>
      </w:r>
    </w:p>
    <w:p w14:paraId="5419CEFD">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十三、赛项预案</w:t>
      </w:r>
    </w:p>
    <w:p w14:paraId="7BB0E567">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赛项执委会采取切实有效措施保证大赛期间参赛选手、指导教师、裁判员、工作人员及观众的人身安全。赛场提供一台能满足比赛要求的应急发电车，赛场提供一套满足比赛要求的备用空气压缩机，每个模块均应提供一套备用工具、设备，备用一套抽签用品（人工抽签）。</w:t>
      </w:r>
    </w:p>
    <w:p w14:paraId="028B69B6">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比赛期间发生意外事故，发现者应第一时间报告执委会，同时采取措施避免事态扩大。执委会应立即启动应急预案并报告组委会。赛项出现重大安全问题可以停赛，是否停赛由执委会决定。事后，执委会应向组委会报告详细情况。</w:t>
      </w:r>
    </w:p>
    <w:p w14:paraId="3D6F79BD">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hint="default" w:ascii="仿宋" w:hAnsi="仿宋" w:eastAsia="仿宋" w:cs="仿宋"/>
          <w:spacing w:val="0"/>
          <w:sz w:val="28"/>
          <w:szCs w:val="28"/>
          <w:lang w:val="en-US" w:eastAsia="zh-CN"/>
        </w:rPr>
      </w:pPr>
      <w:r>
        <w:rPr>
          <w:rFonts w:ascii="仿宋" w:hAnsi="仿宋" w:eastAsia="仿宋" w:cs="仿宋"/>
          <w:spacing w:val="0"/>
          <w:sz w:val="28"/>
          <w:szCs w:val="28"/>
        </w:rPr>
        <w:t>2.比赛期间</w:t>
      </w:r>
      <w:r>
        <w:rPr>
          <w:rFonts w:hint="eastAsia" w:ascii="仿宋" w:hAnsi="仿宋" w:eastAsia="仿宋" w:cs="仿宋"/>
          <w:spacing w:val="0"/>
          <w:sz w:val="28"/>
          <w:szCs w:val="28"/>
          <w:lang w:val="en-US" w:eastAsia="zh-CN"/>
        </w:rPr>
        <w:t>请各参赛队注意，选择</w:t>
      </w:r>
      <w:r>
        <w:rPr>
          <w:rFonts w:ascii="仿宋" w:hAnsi="仿宋" w:eastAsia="仿宋" w:cs="仿宋"/>
          <w:spacing w:val="0"/>
          <w:sz w:val="28"/>
          <w:szCs w:val="28"/>
        </w:rPr>
        <w:t>住宿地应具有宾馆/住宿经营许可资质</w:t>
      </w:r>
      <w:r>
        <w:rPr>
          <w:rFonts w:hint="eastAsia" w:ascii="仿宋" w:hAnsi="仿宋" w:eastAsia="仿宋" w:cs="仿宋"/>
          <w:spacing w:val="0"/>
          <w:sz w:val="28"/>
          <w:szCs w:val="28"/>
          <w:lang w:eastAsia="zh-CN"/>
        </w:rPr>
        <w:t>，</w:t>
      </w:r>
      <w:r>
        <w:rPr>
          <w:rFonts w:hint="eastAsia" w:ascii="仿宋" w:hAnsi="仿宋" w:eastAsia="仿宋" w:cs="仿宋"/>
          <w:spacing w:val="0"/>
          <w:sz w:val="28"/>
          <w:szCs w:val="28"/>
          <w:lang w:val="en-US" w:eastAsia="zh-CN"/>
        </w:rPr>
        <w:t>用餐需要去有</w:t>
      </w:r>
      <w:r>
        <w:rPr>
          <w:rFonts w:ascii="仿宋" w:hAnsi="仿宋" w:eastAsia="仿宋" w:cs="仿宋"/>
          <w:spacing w:val="0"/>
          <w:sz w:val="28"/>
          <w:szCs w:val="28"/>
        </w:rPr>
        <w:t>经营许可资质</w:t>
      </w:r>
      <w:r>
        <w:rPr>
          <w:rFonts w:hint="eastAsia" w:ascii="仿宋" w:hAnsi="仿宋" w:eastAsia="仿宋" w:cs="仿宋"/>
          <w:spacing w:val="0"/>
          <w:sz w:val="28"/>
          <w:szCs w:val="28"/>
          <w:lang w:val="en-US" w:eastAsia="zh-CN"/>
        </w:rPr>
        <w:t>的地点。</w:t>
      </w:r>
    </w:p>
    <w:p w14:paraId="0E4AF3E0">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3.赛项的安全管理，除了可以采取必要的安全隔离措施外，应严格遵守国家相关法律法规，保护个人隐私和人身自由。</w:t>
      </w:r>
    </w:p>
    <w:p w14:paraId="1BF1487E">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十四、竞赛须知</w:t>
      </w:r>
    </w:p>
    <w:p w14:paraId="39890C64">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（一）参赛队须知</w:t>
      </w:r>
    </w:p>
    <w:p w14:paraId="0ABA08D4">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1.各学校组织代表队时，须安排为参赛选手购买大赛期间的人身意外伤害保险。</w:t>
      </w:r>
    </w:p>
    <w:p w14:paraId="1DB5B9C1">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2.各学校代表队组成后，须制定相关管理制度，并对所有选手、指导教师进行安全教育。</w:t>
      </w:r>
    </w:p>
    <w:p w14:paraId="0842098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3.各参赛队伍须加强对参与比赛人员的安全管理，实现与赛场安全管理的对接。</w:t>
      </w:r>
    </w:p>
    <w:p w14:paraId="19E038A5">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4.因参赛队原因造成重大安全事故的，取消其获奖资格。</w:t>
      </w:r>
    </w:p>
    <w:p w14:paraId="1E9A1F3D">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5.参赛选手比赛期间发生重大安全事故隐患，经赛场工作人员提示、警告无效的，可取消其继续比赛的资格。</w:t>
      </w:r>
    </w:p>
    <w:p w14:paraId="59391B30">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6.赛事工作人员违规的，按照相应的制度追究责任。情节恶劣并造成重大安全事故的，由司法机关追究相应法律责任。</w:t>
      </w:r>
    </w:p>
    <w:p w14:paraId="1D9F7ED8">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7.各参赛队按竞赛组委会统一安排参加赛前熟悉场地活动，未按时参加视同放弃。</w:t>
      </w:r>
    </w:p>
    <w:p w14:paraId="214C7DA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8.各参赛队按竞赛组委会统一要求，准时参加赛前领队会。</w:t>
      </w:r>
    </w:p>
    <w:p w14:paraId="6379A321">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9.比赛期间各参赛队要注意饮食卫生，防止食物中毒。</w:t>
      </w:r>
    </w:p>
    <w:p w14:paraId="29716A4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10.参赛队按照大赛赛程安排，凭大赛组委会颁发的参赛证，以及学生证、身份证等参加比赛及相关活动。</w:t>
      </w:r>
    </w:p>
    <w:p w14:paraId="05BE105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11.各参赛队要发扬良好道德风尚，听从指挥，服从裁判，不弄虚作假。</w:t>
      </w:r>
    </w:p>
    <w:p w14:paraId="4D5CF176">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12.如在比赛过程中出现特殊情况，由各代表队领队与现场工作人员协调联系和反映，不得以任何理由中断比赛或擅自带选手退场。</w:t>
      </w:r>
    </w:p>
    <w:p w14:paraId="2916226E">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13.各代表队领队准确及时按规定召集本队人员按时到达赛场。</w:t>
      </w:r>
    </w:p>
    <w:p w14:paraId="50B96690">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hint="default" w:ascii="仿宋" w:hAnsi="仿宋" w:eastAsia="仿宋" w:cs="仿宋"/>
          <w:spacing w:val="0"/>
          <w:sz w:val="28"/>
          <w:szCs w:val="28"/>
          <w:lang w:val="en-US" w:eastAsia="zh-CN"/>
        </w:rPr>
      </w:pPr>
      <w:r>
        <w:rPr>
          <w:rFonts w:ascii="仿宋" w:hAnsi="仿宋" w:eastAsia="仿宋" w:cs="仿宋"/>
          <w:spacing w:val="0"/>
          <w:sz w:val="28"/>
          <w:szCs w:val="28"/>
        </w:rPr>
        <w:t>14.各代表队领队在比赛期间需保持通信畅通。</w:t>
      </w:r>
      <w:r>
        <w:rPr>
          <w:rFonts w:hint="eastAsia" w:ascii="仿宋" w:hAnsi="仿宋" w:eastAsia="仿宋" w:cs="仿宋"/>
          <w:spacing w:val="0"/>
          <w:sz w:val="28"/>
          <w:szCs w:val="28"/>
          <w:lang w:val="en-US" w:eastAsia="zh-CN"/>
        </w:rPr>
        <w:t>申诉只接受领队亲自递交的书面材料，并有领队亲笔签名。</w:t>
      </w:r>
    </w:p>
    <w:p w14:paraId="51650DF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15.各代表队领队在比赛前和比赛期间不得与裁判谈论与比赛有关的内容，更不得以任何形式影响裁判人员的评判。</w:t>
      </w:r>
    </w:p>
    <w:p w14:paraId="41AC08F6">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（二）指导教师须知</w:t>
      </w:r>
    </w:p>
    <w:p w14:paraId="614B3ED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1.参赛选手和指导教师报名获得确认后不得更换。</w:t>
      </w:r>
    </w:p>
    <w:p w14:paraId="76574DEE">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2.参赛选手的穿戴装备、工具等不得出现参赛单位等信息，否则禁止入场或取消比赛资格。</w:t>
      </w:r>
    </w:p>
    <w:p w14:paraId="44487AE1">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3.指导教师和参赛选手要发扬良好道德风尚，听从指挥，服从裁判，不弄虚作假。</w:t>
      </w:r>
    </w:p>
    <w:p w14:paraId="772A4A03">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4.对申诉的仲裁结果，指导教师应带头服从和执行，还应说服选手服从和执行。凡恶意申诉，一经查实，执委会将追查相关人员责任</w:t>
      </w:r>
      <w:r>
        <w:rPr>
          <w:rFonts w:hint="eastAsia" w:ascii="仿宋" w:hAnsi="仿宋" w:eastAsia="仿宋" w:cs="仿宋"/>
          <w:spacing w:val="0"/>
          <w:sz w:val="28"/>
          <w:szCs w:val="28"/>
          <w:lang w:eastAsia="zh-CN"/>
        </w:rPr>
        <w:t>，</w:t>
      </w:r>
      <w:r>
        <w:rPr>
          <w:rFonts w:hint="eastAsia" w:ascii="仿宋" w:hAnsi="仿宋" w:eastAsia="仿宋" w:cs="仿宋"/>
          <w:spacing w:val="0"/>
          <w:sz w:val="28"/>
          <w:szCs w:val="28"/>
          <w:lang w:val="en-US" w:eastAsia="zh-CN"/>
        </w:rPr>
        <w:t>并取消选手成绩</w:t>
      </w:r>
      <w:r>
        <w:rPr>
          <w:rFonts w:ascii="仿宋" w:hAnsi="仿宋" w:eastAsia="仿宋" w:cs="仿宋"/>
          <w:spacing w:val="0"/>
          <w:sz w:val="28"/>
          <w:szCs w:val="28"/>
        </w:rPr>
        <w:t>。</w:t>
      </w:r>
    </w:p>
    <w:p w14:paraId="661505C4">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5.指导教师应认真研究和掌握赛项规程，指导选手做好赛前的一切准备工作。</w:t>
      </w:r>
    </w:p>
    <w:p w14:paraId="2DB1037D">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6.指导教师应在赛后做好技术总结和工作总结。</w:t>
      </w:r>
    </w:p>
    <w:p w14:paraId="56549A70">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7.指导教师要督促选手按组委会规定的时间和地点报到；做好选手的后勤保障、安全工作；自觉维护赛场秩序。</w:t>
      </w:r>
    </w:p>
    <w:p w14:paraId="0B2955B0">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（三）参赛选手须知</w:t>
      </w:r>
    </w:p>
    <w:p w14:paraId="18F57203">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1.严格遵守竞赛规则和竞赛纪律，尊重裁判和其他参赛选手，服从裁判员和竞赛工作人员的管理，自觉维护赛场秩序，不得在赛场内大声喧哗、打闹。</w:t>
      </w:r>
    </w:p>
    <w:p w14:paraId="7CF9809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2.必须穿着统一的工作服进入赛场。</w:t>
      </w:r>
    </w:p>
    <w:p w14:paraId="67944B2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3.在赛前熟悉场地和竞赛时，应该严格遵守场地秩序和安全操作规程，杜绝出现安全事故。爱护比赛场地、车辆、设备、工具及材料。</w:t>
      </w:r>
    </w:p>
    <w:p w14:paraId="2B932494">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4.不得将通讯工具、技术资料、工具书、自编电子或文字资料、笔记本电脑、摄像工具以及其他即插即用的硬件等与比赛有关的任何物品进入比赛场地，否则取消选手比赛资格。</w:t>
      </w:r>
    </w:p>
    <w:p w14:paraId="13A08587">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5.必须持本人</w:t>
      </w:r>
      <w:r>
        <w:rPr>
          <w:rFonts w:hint="eastAsia" w:ascii="仿宋" w:hAnsi="仿宋" w:eastAsia="仿宋" w:cs="仿宋"/>
          <w:spacing w:val="0"/>
          <w:sz w:val="28"/>
          <w:szCs w:val="28"/>
          <w:lang w:val="en-US" w:eastAsia="zh-CN"/>
        </w:rPr>
        <w:t>参赛证、</w:t>
      </w:r>
      <w:r>
        <w:rPr>
          <w:rFonts w:ascii="仿宋" w:hAnsi="仿宋" w:eastAsia="仿宋" w:cs="仿宋"/>
          <w:spacing w:val="0"/>
          <w:sz w:val="28"/>
          <w:szCs w:val="28"/>
        </w:rPr>
        <w:t>学生证、身份证，按比赛规定的时间，到指定的场地参赛。</w:t>
      </w:r>
    </w:p>
    <w:p w14:paraId="744D40F1">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6.按照裁判长指令开始、结束比赛。操作结束后应按要求离开比赛场地，不得无故在场内逗留。</w:t>
      </w:r>
    </w:p>
    <w:p w14:paraId="6CF2D645">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7.须按时到赛场等候检录、抽签进入赛场，并按照抽签确定的工位号参加比赛。已检录入场的参赛选手未经允许，不得擅自离开。</w:t>
      </w:r>
    </w:p>
    <w:p w14:paraId="66670B21">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8.在现场工作人员引导下进入比赛工位，按规定进行赛前准备，检查并确认配套的设备及工具等。</w:t>
      </w:r>
    </w:p>
    <w:p w14:paraId="1333583D">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9.比赛过程中不得擅自离开赛场。若需休息、饮水或去洗手间，需经裁判员同意，一律计算在比赛时间内。在指定区域取用由赛场统一提供的饮用水。</w:t>
      </w:r>
    </w:p>
    <w:p w14:paraId="1FB2460D">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10.比赛过程中须严格遵守相关操作规程，确保人身及设备安全，并接受裁判员的监督和警示。若因选手个人因素造成人身安全事故和设备故障，不予延时。情节特别严重者，由裁判长视具体情况作出处理决定（最高至终止比赛）。</w:t>
      </w:r>
    </w:p>
    <w:p w14:paraId="6F81170F">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11.在比赛过程中如遇问题，需举手向裁判人员提出。选手之间不得发生任何交流。</w:t>
      </w:r>
    </w:p>
    <w:p w14:paraId="0C945B21">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12.比赛结束前5分钟裁判会对选手做出提示。</w:t>
      </w:r>
    </w:p>
    <w:p w14:paraId="432368AC">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13.对裁判裁决有异议，可按大赛申诉与仲裁规则进行申诉，不得与工作人员及裁判员纠缠。</w:t>
      </w:r>
    </w:p>
    <w:p w14:paraId="39AA76E5">
      <w:pPr>
        <w:keepNext w:val="0"/>
        <w:keepLines w:val="0"/>
        <w:pageBreakBefore w:val="0"/>
        <w:widowControl/>
        <w:kinsoku w:val="0"/>
        <w:wordWrap/>
        <w:overflowPunct/>
        <w:topLinePunct w:val="0"/>
        <w:autoSpaceDE w:val="0"/>
        <w:autoSpaceDN w:val="0"/>
        <w:bidi w:val="0"/>
        <w:adjustRightInd w:val="0"/>
        <w:snapToGrid w:val="0"/>
        <w:spacing w:line="240" w:lineRule="auto"/>
        <w:ind w:left="0" w:firstLine="608" w:firstLineChars="200"/>
        <w:jc w:val="both"/>
        <w:textAlignment w:val="baseline"/>
        <w:rPr>
          <w:rFonts w:ascii="楷体" w:hAnsi="楷体" w:eastAsia="楷体" w:cs="楷体"/>
          <w:spacing w:val="2"/>
          <w:sz w:val="30"/>
          <w:szCs w:val="30"/>
        </w:rPr>
      </w:pPr>
      <w:r>
        <w:rPr>
          <w:rFonts w:ascii="楷体" w:hAnsi="楷体" w:eastAsia="楷体" w:cs="楷体"/>
          <w:spacing w:val="2"/>
          <w:sz w:val="30"/>
          <w:szCs w:val="30"/>
        </w:rPr>
        <w:t>（四）工作人员须知</w:t>
      </w:r>
    </w:p>
    <w:p w14:paraId="09565067">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1.树立服务观念，一切为选手着想，以高度负责的精神、严肃认真的态度和严谨细致的作风，积极完成本职任务。</w:t>
      </w:r>
    </w:p>
    <w:p w14:paraId="3A4C0530">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2.工作人员必须服从赛项组委会统一指挥，按规定佩戴工作人员标识，保持良好形象，注意文明礼貌，认真履行职责，做好比赛服务工作。</w:t>
      </w:r>
    </w:p>
    <w:p w14:paraId="04F1951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3.工作人员按照工作分工和区域准时上岗，严守工作岗位，不得擅自离岗，应认真履行各自的工作职责，保证竞赛工作的顺利进行，特殊情况需向赛项执委会请假。</w:t>
      </w:r>
    </w:p>
    <w:p w14:paraId="63AB1E8A">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4.熟悉比赛规程，严格按照工作程序和有关规定办事，遇突发事件，按照安全工作预案，组织指挥人员疏散，确保人员安全。</w:t>
      </w:r>
    </w:p>
    <w:p w14:paraId="5BA5F4C6">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5.保持通信畅通，加强协作配合，提高工作效率。</w:t>
      </w:r>
    </w:p>
    <w:p w14:paraId="1A7EF6A6">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6.竞赛期间，不得利用工作之便，弄虚作假、徇私舞弊。如有上述现象或因工作不负责任的情况，造成竞赛程序无法继续进行，由赛项组委会视情节轻重，给予通报批评或停止工作，并通知其所在单位做出相应处理。</w:t>
      </w:r>
    </w:p>
    <w:p w14:paraId="1F8558C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7.比赛期间工作人员必须在指定区域等待，未经裁判长允许不得进入比赛工位。</w:t>
      </w:r>
    </w:p>
    <w:p w14:paraId="58AB4ADA">
      <w:pPr>
        <w:keepNext w:val="0"/>
        <w:keepLines w:val="0"/>
        <w:pageBreakBefore w:val="0"/>
        <w:widowControl/>
        <w:kinsoku w:val="0"/>
        <w:wordWrap/>
        <w:overflowPunct/>
        <w:topLinePunct w:val="0"/>
        <w:autoSpaceDE w:val="0"/>
        <w:autoSpaceDN w:val="0"/>
        <w:bidi w:val="0"/>
        <w:adjustRightInd w:val="0"/>
        <w:snapToGrid w:val="0"/>
        <w:spacing w:line="480" w:lineRule="atLeast"/>
        <w:ind w:left="0"/>
        <w:jc w:val="both"/>
        <w:textAlignment w:val="baseline"/>
        <w:rPr>
          <w:rFonts w:ascii="黑体" w:hAnsi="黑体" w:eastAsia="黑体" w:cs="黑体"/>
          <w:spacing w:val="8"/>
          <w:sz w:val="31"/>
          <w:szCs w:val="31"/>
        </w:rPr>
      </w:pPr>
      <w:r>
        <w:rPr>
          <w:rFonts w:ascii="黑体" w:hAnsi="黑体" w:eastAsia="黑体" w:cs="黑体"/>
          <w:spacing w:val="8"/>
          <w:sz w:val="31"/>
          <w:szCs w:val="31"/>
        </w:rPr>
        <w:t>十五、申诉与仲裁</w:t>
      </w:r>
    </w:p>
    <w:p w14:paraId="4BD2FF84">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本赛项在比赛过程中若出现有失公正或有关人员违规等现象，参赛队领队可在比赛结束后</w:t>
      </w:r>
      <w:r>
        <w:rPr>
          <w:rFonts w:hint="eastAsia" w:ascii="仿宋" w:hAnsi="仿宋" w:eastAsia="仿宋" w:cs="仿宋"/>
          <w:spacing w:val="0"/>
          <w:sz w:val="28"/>
          <w:szCs w:val="28"/>
          <w:lang w:val="en-US" w:eastAsia="zh-CN"/>
        </w:rPr>
        <w:t>1</w:t>
      </w:r>
      <w:r>
        <w:rPr>
          <w:rFonts w:ascii="仿宋" w:hAnsi="仿宋" w:eastAsia="仿宋" w:cs="仿宋"/>
          <w:spacing w:val="0"/>
          <w:sz w:val="28"/>
          <w:szCs w:val="28"/>
        </w:rPr>
        <w:t>小时内向监督仲裁组提出书面申诉。书面申诉应对申诉事件的现象、发生时间、涉及人员、申诉依据等进行充分、实事求是的叙述，并由领队亲笔签名。非书面申诉不予受理。</w:t>
      </w:r>
    </w:p>
    <w:p w14:paraId="10ED69D4">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仿宋" w:hAnsi="仿宋" w:eastAsia="仿宋" w:cs="仿宋"/>
          <w:spacing w:val="0"/>
          <w:sz w:val="28"/>
          <w:szCs w:val="28"/>
        </w:rPr>
      </w:pPr>
      <w:r>
        <w:rPr>
          <w:rFonts w:ascii="仿宋" w:hAnsi="仿宋" w:eastAsia="仿宋" w:cs="仿宋"/>
          <w:spacing w:val="0"/>
          <w:sz w:val="28"/>
          <w:szCs w:val="28"/>
        </w:rPr>
        <w:t>赛项监督仲裁组在接到申诉报告后的2小时内组织复议，并及时将复议结果以书面形式告知申诉方。仲裁结果为最终结果。仲裁结果由申诉人签收，不能代收，如在约定时间和地点申诉人离开，视为自行放弃申诉。</w:t>
      </w:r>
    </w:p>
    <w:p w14:paraId="130FFB02">
      <w:pPr>
        <w:keepNext w:val="0"/>
        <w:keepLines w:val="0"/>
        <w:pageBreakBefore w:val="0"/>
        <w:widowControl/>
        <w:kinsoku w:val="0"/>
        <w:wordWrap/>
        <w:overflowPunct/>
        <w:topLinePunct w:val="0"/>
        <w:autoSpaceDE w:val="0"/>
        <w:autoSpaceDN w:val="0"/>
        <w:bidi w:val="0"/>
        <w:adjustRightInd w:val="0"/>
        <w:snapToGrid w:val="0"/>
        <w:spacing w:line="480" w:lineRule="atLeast"/>
        <w:ind w:left="0" w:right="0" w:firstLine="560" w:firstLineChars="200"/>
        <w:jc w:val="both"/>
        <w:textAlignment w:val="baseline"/>
        <w:rPr>
          <w:rFonts w:ascii="黑体" w:hAnsi="黑体" w:eastAsia="黑体" w:cs="黑体"/>
          <w:spacing w:val="7"/>
          <w:sz w:val="31"/>
          <w:szCs w:val="31"/>
        </w:rPr>
      </w:pPr>
      <w:r>
        <w:rPr>
          <w:rFonts w:ascii="仿宋" w:hAnsi="仿宋" w:eastAsia="仿宋" w:cs="仿宋"/>
          <w:spacing w:val="0"/>
          <w:sz w:val="28"/>
          <w:szCs w:val="28"/>
        </w:rPr>
        <w:t>申诉方可随时提出放弃申诉。申诉方不得以任何理由拒绝接收仲裁结果，不得以任何理由采取过激行为扰乱赛场秩序。</w:t>
      </w:r>
    </w:p>
    <w:p w14:paraId="485EAD85">
      <w:pPr>
        <w:rPr>
          <w:rFonts w:ascii="仿宋" w:hAnsi="仿宋" w:eastAsia="仿宋" w:cs="仿宋"/>
          <w:spacing w:val="-9"/>
          <w:sz w:val="31"/>
          <w:szCs w:val="31"/>
        </w:rPr>
      </w:pPr>
    </w:p>
    <w:sectPr>
      <w:pgSz w:w="11911" w:h="16838"/>
      <w:pgMar w:top="1417" w:right="1417" w:bottom="1134" w:left="1417" w:header="0" w:footer="56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542A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CB37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10CB37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zFjNTIwMDVkMDQ0NTg4NmNiOGZlNjkwNjRjZjlhNzAifQ=="/>
  </w:docVars>
  <w:rsids>
    <w:rsidRoot w:val="00000000"/>
    <w:rsid w:val="016E2F6B"/>
    <w:rsid w:val="01891B53"/>
    <w:rsid w:val="02C52877"/>
    <w:rsid w:val="039C1979"/>
    <w:rsid w:val="03A52548"/>
    <w:rsid w:val="03D35307"/>
    <w:rsid w:val="03F346ED"/>
    <w:rsid w:val="04E90B5B"/>
    <w:rsid w:val="056A2E23"/>
    <w:rsid w:val="05E71F8D"/>
    <w:rsid w:val="068154EF"/>
    <w:rsid w:val="0696044D"/>
    <w:rsid w:val="06A905A2"/>
    <w:rsid w:val="06DC2725"/>
    <w:rsid w:val="083C3765"/>
    <w:rsid w:val="084560A8"/>
    <w:rsid w:val="0A5C2888"/>
    <w:rsid w:val="0AAE262A"/>
    <w:rsid w:val="0ABF23BB"/>
    <w:rsid w:val="0BA8424D"/>
    <w:rsid w:val="0BC9563A"/>
    <w:rsid w:val="0BCC764B"/>
    <w:rsid w:val="0C25063B"/>
    <w:rsid w:val="0C564D28"/>
    <w:rsid w:val="0C6A07D3"/>
    <w:rsid w:val="0CB4392F"/>
    <w:rsid w:val="0D441024"/>
    <w:rsid w:val="0DFC36AD"/>
    <w:rsid w:val="0F1B4006"/>
    <w:rsid w:val="0F211424"/>
    <w:rsid w:val="120B3EBE"/>
    <w:rsid w:val="1216778C"/>
    <w:rsid w:val="136A2893"/>
    <w:rsid w:val="15A80C65"/>
    <w:rsid w:val="15AE1730"/>
    <w:rsid w:val="16C246DB"/>
    <w:rsid w:val="176030B6"/>
    <w:rsid w:val="176D13A8"/>
    <w:rsid w:val="17730E9B"/>
    <w:rsid w:val="178F2442"/>
    <w:rsid w:val="19297320"/>
    <w:rsid w:val="1A750A6F"/>
    <w:rsid w:val="1AC13CB4"/>
    <w:rsid w:val="1AE96D67"/>
    <w:rsid w:val="1B4641B9"/>
    <w:rsid w:val="1B4D7212"/>
    <w:rsid w:val="1BBC447B"/>
    <w:rsid w:val="1C6E7E6B"/>
    <w:rsid w:val="1C877E74"/>
    <w:rsid w:val="1CDD0B4D"/>
    <w:rsid w:val="1DC85359"/>
    <w:rsid w:val="1DEA3522"/>
    <w:rsid w:val="1E164317"/>
    <w:rsid w:val="1E79766A"/>
    <w:rsid w:val="1ED02718"/>
    <w:rsid w:val="1F217D15"/>
    <w:rsid w:val="1F652EAE"/>
    <w:rsid w:val="1FC13C36"/>
    <w:rsid w:val="200B777F"/>
    <w:rsid w:val="200F101E"/>
    <w:rsid w:val="20E029BA"/>
    <w:rsid w:val="21BA76AF"/>
    <w:rsid w:val="22034BB2"/>
    <w:rsid w:val="2241392C"/>
    <w:rsid w:val="231A7137"/>
    <w:rsid w:val="23405992"/>
    <w:rsid w:val="24166820"/>
    <w:rsid w:val="263A2B6C"/>
    <w:rsid w:val="26D22DA5"/>
    <w:rsid w:val="27BB2906"/>
    <w:rsid w:val="28042BF6"/>
    <w:rsid w:val="2A1E395A"/>
    <w:rsid w:val="2A88034A"/>
    <w:rsid w:val="2A9A7DDF"/>
    <w:rsid w:val="2AE5579D"/>
    <w:rsid w:val="2B400C25"/>
    <w:rsid w:val="2D9B0395"/>
    <w:rsid w:val="2DA532B1"/>
    <w:rsid w:val="2FCC115D"/>
    <w:rsid w:val="300541EB"/>
    <w:rsid w:val="302279CA"/>
    <w:rsid w:val="304C5976"/>
    <w:rsid w:val="30B22269"/>
    <w:rsid w:val="32A17C6C"/>
    <w:rsid w:val="32C97752"/>
    <w:rsid w:val="337F6D20"/>
    <w:rsid w:val="34411A14"/>
    <w:rsid w:val="346F257B"/>
    <w:rsid w:val="348558FB"/>
    <w:rsid w:val="35FE7713"/>
    <w:rsid w:val="36017203"/>
    <w:rsid w:val="366B28CE"/>
    <w:rsid w:val="36FB1EA4"/>
    <w:rsid w:val="37500442"/>
    <w:rsid w:val="375354EA"/>
    <w:rsid w:val="379D499A"/>
    <w:rsid w:val="379E11AD"/>
    <w:rsid w:val="37F963E3"/>
    <w:rsid w:val="383E6A55"/>
    <w:rsid w:val="38E726E0"/>
    <w:rsid w:val="397330FD"/>
    <w:rsid w:val="39754190"/>
    <w:rsid w:val="39861EF9"/>
    <w:rsid w:val="3A4251EC"/>
    <w:rsid w:val="3B2B6F6E"/>
    <w:rsid w:val="3B527A00"/>
    <w:rsid w:val="3BE63123"/>
    <w:rsid w:val="3BF53366"/>
    <w:rsid w:val="3C896E68"/>
    <w:rsid w:val="3CA64660"/>
    <w:rsid w:val="3CEB6517"/>
    <w:rsid w:val="3D1D02A0"/>
    <w:rsid w:val="3ED1061B"/>
    <w:rsid w:val="3EF23B8C"/>
    <w:rsid w:val="3F9B06C8"/>
    <w:rsid w:val="3FA0497F"/>
    <w:rsid w:val="3FDF05B5"/>
    <w:rsid w:val="40C1415E"/>
    <w:rsid w:val="419810A5"/>
    <w:rsid w:val="41D35EF7"/>
    <w:rsid w:val="439F019C"/>
    <w:rsid w:val="44110F59"/>
    <w:rsid w:val="443C4228"/>
    <w:rsid w:val="4469669F"/>
    <w:rsid w:val="45123FB2"/>
    <w:rsid w:val="459308C3"/>
    <w:rsid w:val="45B95404"/>
    <w:rsid w:val="46A61876"/>
    <w:rsid w:val="472D7E58"/>
    <w:rsid w:val="47A037F9"/>
    <w:rsid w:val="483B47F6"/>
    <w:rsid w:val="483B65A4"/>
    <w:rsid w:val="48863729"/>
    <w:rsid w:val="492E30B3"/>
    <w:rsid w:val="49D96075"/>
    <w:rsid w:val="4A1E1CDA"/>
    <w:rsid w:val="4A69271C"/>
    <w:rsid w:val="4A755459"/>
    <w:rsid w:val="4AF73A7A"/>
    <w:rsid w:val="4AFE2D80"/>
    <w:rsid w:val="4B4734B2"/>
    <w:rsid w:val="4BAD5A0B"/>
    <w:rsid w:val="4D665B3E"/>
    <w:rsid w:val="4F7D0E9B"/>
    <w:rsid w:val="50DE0415"/>
    <w:rsid w:val="514A216C"/>
    <w:rsid w:val="51744D14"/>
    <w:rsid w:val="518C1C1F"/>
    <w:rsid w:val="51E60623"/>
    <w:rsid w:val="52AC6580"/>
    <w:rsid w:val="5302663C"/>
    <w:rsid w:val="53525402"/>
    <w:rsid w:val="53CE29C2"/>
    <w:rsid w:val="550A5C7C"/>
    <w:rsid w:val="55560EC1"/>
    <w:rsid w:val="556C2493"/>
    <w:rsid w:val="55913CA7"/>
    <w:rsid w:val="560F7CFB"/>
    <w:rsid w:val="563A575C"/>
    <w:rsid w:val="582F1556"/>
    <w:rsid w:val="58A64B48"/>
    <w:rsid w:val="58D6280A"/>
    <w:rsid w:val="599E2E37"/>
    <w:rsid w:val="5A1A070F"/>
    <w:rsid w:val="5A2C0C87"/>
    <w:rsid w:val="5B5C727B"/>
    <w:rsid w:val="5BBA52AE"/>
    <w:rsid w:val="5C877BB2"/>
    <w:rsid w:val="5CBD35D4"/>
    <w:rsid w:val="5DCE06E2"/>
    <w:rsid w:val="5DF254FF"/>
    <w:rsid w:val="5E005E3B"/>
    <w:rsid w:val="5E36363E"/>
    <w:rsid w:val="5E563CE0"/>
    <w:rsid w:val="5EA508CC"/>
    <w:rsid w:val="5EC7073A"/>
    <w:rsid w:val="5F217FAD"/>
    <w:rsid w:val="5F445538"/>
    <w:rsid w:val="61932B55"/>
    <w:rsid w:val="6297548B"/>
    <w:rsid w:val="62B81664"/>
    <w:rsid w:val="63972DD1"/>
    <w:rsid w:val="63CB2574"/>
    <w:rsid w:val="646E76B0"/>
    <w:rsid w:val="64DD0CB7"/>
    <w:rsid w:val="65624D19"/>
    <w:rsid w:val="666B5E4F"/>
    <w:rsid w:val="66DC0AFB"/>
    <w:rsid w:val="684A10C6"/>
    <w:rsid w:val="687E00BB"/>
    <w:rsid w:val="68D45F2D"/>
    <w:rsid w:val="6905258B"/>
    <w:rsid w:val="691174A4"/>
    <w:rsid w:val="691E364C"/>
    <w:rsid w:val="695452C0"/>
    <w:rsid w:val="6A975464"/>
    <w:rsid w:val="6B4355EC"/>
    <w:rsid w:val="6C344919"/>
    <w:rsid w:val="6CA44B1F"/>
    <w:rsid w:val="6CB00104"/>
    <w:rsid w:val="6D94212F"/>
    <w:rsid w:val="6EBE242F"/>
    <w:rsid w:val="6F1928EC"/>
    <w:rsid w:val="6F473D02"/>
    <w:rsid w:val="70A5478D"/>
    <w:rsid w:val="70B36D70"/>
    <w:rsid w:val="716F0EE9"/>
    <w:rsid w:val="71DE7E1D"/>
    <w:rsid w:val="72084E9A"/>
    <w:rsid w:val="72284D61"/>
    <w:rsid w:val="724063E2"/>
    <w:rsid w:val="72693B8A"/>
    <w:rsid w:val="72704655"/>
    <w:rsid w:val="72A03324"/>
    <w:rsid w:val="730E64E0"/>
    <w:rsid w:val="73E85E70"/>
    <w:rsid w:val="74C257D4"/>
    <w:rsid w:val="74E120FE"/>
    <w:rsid w:val="75CE1F56"/>
    <w:rsid w:val="75D4756D"/>
    <w:rsid w:val="7603127F"/>
    <w:rsid w:val="77D5581E"/>
    <w:rsid w:val="782F13D2"/>
    <w:rsid w:val="78484242"/>
    <w:rsid w:val="790226B1"/>
    <w:rsid w:val="7906409F"/>
    <w:rsid w:val="79386064"/>
    <w:rsid w:val="796F0735"/>
    <w:rsid w:val="79BD2A0E"/>
    <w:rsid w:val="79E92285"/>
    <w:rsid w:val="7A9E1701"/>
    <w:rsid w:val="7AD24C54"/>
    <w:rsid w:val="7AD87AFF"/>
    <w:rsid w:val="7AE244DA"/>
    <w:rsid w:val="7B65510B"/>
    <w:rsid w:val="7C044924"/>
    <w:rsid w:val="7C173E6D"/>
    <w:rsid w:val="7C541407"/>
    <w:rsid w:val="7CC320E9"/>
    <w:rsid w:val="7D24397B"/>
    <w:rsid w:val="7D60202E"/>
    <w:rsid w:val="7D697134"/>
    <w:rsid w:val="7D6C592B"/>
    <w:rsid w:val="7D831C49"/>
    <w:rsid w:val="7DC73E5B"/>
    <w:rsid w:val="7F21134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unhideWhenUsed/>
    <w:qFormat/>
    <w:uiPriority w:val="99"/>
    <w:rPr>
      <w:rFonts w:ascii="宋体" w:hAnsi="Courier New"/>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customStyle="1" w:styleId="9">
    <w:name w:val="Table Normal"/>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仿宋" w:hAnsi="仿宋" w:eastAsia="仿宋" w:cs="仿宋"/>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4755</Words>
  <Characters>4930</Characters>
  <Lines>0</Lines>
  <Paragraphs>0</Paragraphs>
  <TotalTime>6</TotalTime>
  <ScaleCrop>false</ScaleCrop>
  <LinksUpToDate>false</LinksUpToDate>
  <CharactersWithSpaces>4973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2023-12-05T19:06:00Z</dcterms:created>
  <dc:creator>lenovo</dc:creator>
  <cp:lastModifiedBy>晴·暖</cp:lastModifiedBy>
  <dcterms:modified xsi:type="dcterms:W3CDTF">2025-06-11T04:32:42Z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2023-12-28T16:55:32Z</vt:filetime>
  </property>
  <property fmtid="{D5CDD505-2E9C-101B-9397-08002B2CF9AE}" pid="4" name="KSOProductBuildVer">
    <vt:lpwstr>2052-12.1.0.20784</vt:lpwstr>
  </property>
  <property fmtid="{D5CDD505-2E9C-101B-9397-08002B2CF9AE}" pid="5" name="ICV">
    <vt:lpwstr>FC77C16C69EE4ED7A819A9128248ED4B_12</vt:lpwstr>
  </property>
  <property fmtid="{D5CDD505-2E9C-101B-9397-08002B2CF9AE}" pid="6" name="KSOTemplateDocerSaveRecord">
    <vt:lpwstr>eyJoZGlkIjoiNmU1NjE4NTVjNjM3MTViNWIwZjQ2OGU3MjgxOThkZmMiLCJ1c2VySWQiOiIyNjM3MjEyNjcifQ==</vt:lpwstr>
  </property>
</Properties>
</file>